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47CE7">
      <w:pPr>
        <w:spacing w:line="560" w:lineRule="exact"/>
        <w:jc w:val="center"/>
        <w:rPr>
          <w:rFonts w:hint="eastAsia" w:ascii="方正小标宋_GBK" w:hAnsi="Times New Roman" w:eastAsia="方正小标宋_GBK" w:cs="Times New Roman"/>
          <w:color w:val="000000"/>
          <w:sz w:val="44"/>
          <w:szCs w:val="44"/>
          <w:u w:val="none"/>
        </w:rPr>
      </w:pPr>
      <w:r>
        <w:rPr>
          <w:rFonts w:hint="eastAsia" w:ascii="方正小标宋_GBK" w:hAnsi="Times New Roman" w:eastAsia="方正小标宋_GBK" w:cs="Times New Roman"/>
          <w:color w:val="000000"/>
          <w:sz w:val="44"/>
          <w:szCs w:val="44"/>
          <w:u w:val="none"/>
        </w:rPr>
        <w:t>泉州幼儿师范高等专科学校</w:t>
      </w:r>
      <w:r>
        <w:rPr>
          <w:rFonts w:hint="eastAsia" w:ascii="方正小标宋_GBK" w:hAnsi="Times New Roman" w:eastAsia="方正小标宋_GBK" w:cs="Times New Roman"/>
          <w:color w:val="000000"/>
          <w:sz w:val="44"/>
          <w:szCs w:val="44"/>
          <w:u w:val="none"/>
          <w:lang w:eastAsia="zh-CN"/>
        </w:rPr>
        <w:t>网络安全设备维保</w:t>
      </w:r>
      <w:r>
        <w:rPr>
          <w:rFonts w:hint="eastAsia" w:ascii="方正小标宋_GBK" w:hAnsi="Times New Roman" w:eastAsia="方正小标宋_GBK" w:cs="Times New Roman"/>
          <w:color w:val="000000"/>
          <w:sz w:val="44"/>
          <w:szCs w:val="44"/>
          <w:u w:val="none"/>
        </w:rPr>
        <w:t>服务</w:t>
      </w:r>
    </w:p>
    <w:p w14:paraId="5F142388">
      <w:pPr>
        <w:spacing w:line="560" w:lineRule="exact"/>
        <w:jc w:val="center"/>
        <w:rPr>
          <w:rFonts w:hint="eastAsia" w:ascii="方正小标宋_GBK" w:hAnsi="Times New Roman" w:eastAsia="方正小标宋_GBK" w:cs="Times New Roman"/>
          <w:color w:val="000000"/>
          <w:sz w:val="44"/>
          <w:szCs w:val="44"/>
          <w:u w:val="none"/>
        </w:rPr>
      </w:pPr>
      <w:r>
        <w:rPr>
          <w:rFonts w:hint="eastAsia" w:ascii="方正小标宋_GBK" w:hAnsi="Times New Roman" w:eastAsia="方正小标宋_GBK" w:cs="Times New Roman"/>
          <w:color w:val="000000"/>
          <w:sz w:val="44"/>
          <w:szCs w:val="44"/>
          <w:u w:val="none"/>
        </w:rPr>
        <w:t>采购方案</w:t>
      </w:r>
    </w:p>
    <w:p w14:paraId="0C1CCCAD">
      <w:pPr>
        <w:rPr>
          <w:color w:val="000000" w:themeColor="text1"/>
          <w14:textFill>
            <w14:solidFill>
              <w14:schemeClr w14:val="tx1"/>
            </w14:solidFill>
          </w14:textFill>
        </w:rPr>
      </w:pPr>
      <w:bookmarkStart w:id="0" w:name="_Toc25471"/>
    </w:p>
    <w:p w14:paraId="00A28CB8">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eastAsia="zh-CN"/>
          <w14:textFill>
            <w14:solidFill>
              <w14:schemeClr w14:val="tx1"/>
            </w14:solidFill>
          </w14:textFill>
        </w:rPr>
      </w:pPr>
      <w:bookmarkStart w:id="1" w:name="_Toc26540"/>
      <w:r>
        <w:rPr>
          <w:rFonts w:hint="eastAsia" w:ascii="宋体" w:hAnsi="宋体" w:eastAsia="宋体" w:cs="宋体"/>
          <w:b/>
          <w:bCs/>
          <w:color w:val="000000" w:themeColor="text1"/>
          <w:kern w:val="0"/>
          <w:sz w:val="32"/>
          <w:szCs w:val="32"/>
          <w:lang w:eastAsia="zh-CN"/>
          <w14:textFill>
            <w14:solidFill>
              <w14:schemeClr w14:val="tx1"/>
            </w14:solidFill>
          </w14:textFill>
        </w:rPr>
        <w:t>一、项目概况</w:t>
      </w:r>
      <w:bookmarkEnd w:id="0"/>
      <w:bookmarkEnd w:id="1"/>
    </w:p>
    <w:p w14:paraId="458E8A67">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1.项目名称：泉州幼儿师范高等专科学校网络安全设备维保服务采购</w:t>
      </w:r>
    </w:p>
    <w:p w14:paraId="33655DEA">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2.采购标的</w:t>
      </w:r>
      <w:bookmarkStart w:id="4" w:name="_GoBack"/>
      <w:bookmarkEnd w:id="4"/>
    </w:p>
    <w:tbl>
      <w:tblPr>
        <w:tblStyle w:val="17"/>
        <w:tblW w:w="8033"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693"/>
        <w:gridCol w:w="1564"/>
        <w:gridCol w:w="734"/>
        <w:gridCol w:w="1249"/>
        <w:gridCol w:w="1335"/>
        <w:gridCol w:w="1578"/>
        <w:gridCol w:w="880"/>
      </w:tblGrid>
      <w:tr w14:paraId="701360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85" w:hRule="atLeast"/>
          <w:tblHeader/>
          <w:jc w:val="center"/>
        </w:trPr>
        <w:tc>
          <w:tcPr>
            <w:tcW w:w="693" w:type="dxa"/>
            <w:tcBorders>
              <w:top w:val="outset" w:color="auto" w:sz="6" w:space="0"/>
              <w:left w:val="outset" w:color="auto" w:sz="6" w:space="0"/>
              <w:bottom w:val="outset" w:color="auto" w:sz="6" w:space="0"/>
              <w:right w:val="outset" w:color="auto" w:sz="6" w:space="0"/>
            </w:tcBorders>
            <w:noWrap w:val="0"/>
            <w:vAlign w:val="center"/>
          </w:tcPr>
          <w:p w14:paraId="238CD6B6">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序号</w:t>
            </w:r>
          </w:p>
        </w:tc>
        <w:tc>
          <w:tcPr>
            <w:tcW w:w="1564" w:type="dxa"/>
            <w:tcBorders>
              <w:top w:val="outset" w:color="auto" w:sz="6" w:space="0"/>
              <w:left w:val="outset" w:color="auto" w:sz="6" w:space="0"/>
              <w:bottom w:val="outset" w:color="auto" w:sz="6" w:space="0"/>
              <w:right w:val="outset" w:color="auto" w:sz="6" w:space="0"/>
            </w:tcBorders>
            <w:noWrap w:val="0"/>
            <w:vAlign w:val="center"/>
          </w:tcPr>
          <w:p w14:paraId="1E3AE1D7">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标的名称</w:t>
            </w:r>
          </w:p>
        </w:tc>
        <w:tc>
          <w:tcPr>
            <w:tcW w:w="734" w:type="dxa"/>
            <w:tcBorders>
              <w:top w:val="outset" w:color="auto" w:sz="6" w:space="0"/>
              <w:left w:val="outset" w:color="auto" w:sz="6" w:space="0"/>
              <w:bottom w:val="outset" w:color="auto" w:sz="6" w:space="0"/>
              <w:right w:val="outset" w:color="auto" w:sz="6" w:space="0"/>
            </w:tcBorders>
            <w:noWrap w:val="0"/>
            <w:vAlign w:val="center"/>
          </w:tcPr>
          <w:p w14:paraId="7E6532E1">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数量</w:t>
            </w:r>
          </w:p>
        </w:tc>
        <w:tc>
          <w:tcPr>
            <w:tcW w:w="1249" w:type="dxa"/>
            <w:tcBorders>
              <w:top w:val="outset" w:color="auto" w:sz="6" w:space="0"/>
              <w:left w:val="outset" w:color="auto" w:sz="6" w:space="0"/>
              <w:bottom w:val="outset" w:color="auto" w:sz="6" w:space="0"/>
              <w:right w:val="outset" w:color="auto" w:sz="6" w:space="0"/>
            </w:tcBorders>
            <w:noWrap w:val="0"/>
            <w:vAlign w:val="center"/>
          </w:tcPr>
          <w:p w14:paraId="6AD83472">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cstheme="minorEastAsia"/>
                <w:b/>
                <w:bCs/>
                <w:color w:val="000000" w:themeColor="text1"/>
                <w:kern w:val="0"/>
                <w:sz w:val="21"/>
                <w:szCs w:val="21"/>
                <w:lang w:eastAsia="zh-CN"/>
                <w14:textFill>
                  <w14:solidFill>
                    <w14:schemeClr w14:val="tx1"/>
                  </w14:solidFill>
                </w14:textFill>
              </w:rPr>
              <w:t>预算</w:t>
            </w: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最高控制价（元）</w:t>
            </w:r>
          </w:p>
        </w:tc>
        <w:tc>
          <w:tcPr>
            <w:tcW w:w="1335" w:type="dxa"/>
            <w:tcBorders>
              <w:top w:val="outset" w:color="auto" w:sz="6" w:space="0"/>
              <w:left w:val="outset" w:color="auto" w:sz="6" w:space="0"/>
              <w:bottom w:val="outset" w:color="auto" w:sz="6" w:space="0"/>
              <w:right w:val="outset" w:color="auto" w:sz="6" w:space="0"/>
            </w:tcBorders>
            <w:noWrap w:val="0"/>
            <w:vAlign w:val="center"/>
          </w:tcPr>
          <w:p w14:paraId="1ED7ABFE">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计量单位</w:t>
            </w:r>
          </w:p>
        </w:tc>
        <w:tc>
          <w:tcPr>
            <w:tcW w:w="1578" w:type="dxa"/>
            <w:tcBorders>
              <w:top w:val="outset" w:color="auto" w:sz="6" w:space="0"/>
              <w:left w:val="outset" w:color="auto" w:sz="6" w:space="0"/>
              <w:bottom w:val="outset" w:color="auto" w:sz="6" w:space="0"/>
              <w:right w:val="outset" w:color="auto" w:sz="6" w:space="0"/>
            </w:tcBorders>
            <w:noWrap w:val="0"/>
            <w:vAlign w:val="center"/>
          </w:tcPr>
          <w:p w14:paraId="7EF6049B">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所属行业</w:t>
            </w:r>
          </w:p>
        </w:tc>
        <w:tc>
          <w:tcPr>
            <w:tcW w:w="880" w:type="dxa"/>
            <w:tcBorders>
              <w:top w:val="outset" w:color="auto" w:sz="6" w:space="0"/>
              <w:left w:val="outset" w:color="auto" w:sz="6" w:space="0"/>
              <w:bottom w:val="outset" w:color="auto" w:sz="6" w:space="0"/>
              <w:right w:val="outset" w:color="auto" w:sz="6" w:space="0"/>
            </w:tcBorders>
            <w:noWrap w:val="0"/>
            <w:vAlign w:val="center"/>
          </w:tcPr>
          <w:p w14:paraId="61E6765F">
            <w:pPr>
              <w:spacing w:line="400" w:lineRule="exact"/>
              <w:jc w:val="center"/>
              <w:textAlignment w:val="top"/>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14:textFill>
                  <w14:solidFill>
                    <w14:schemeClr w14:val="tx1"/>
                  </w14:solidFill>
                </w14:textFill>
              </w:rPr>
              <w:t>是否允许进口产品</w:t>
            </w:r>
          </w:p>
        </w:tc>
      </w:tr>
      <w:tr w14:paraId="38F56A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40" w:hRule="atLeast"/>
          <w:tblHeader/>
          <w:jc w:val="center"/>
        </w:trPr>
        <w:tc>
          <w:tcPr>
            <w:tcW w:w="693" w:type="dxa"/>
            <w:tcBorders>
              <w:top w:val="outset" w:color="auto" w:sz="6" w:space="0"/>
              <w:left w:val="outset" w:color="auto" w:sz="6" w:space="0"/>
              <w:bottom w:val="outset" w:color="auto" w:sz="6" w:space="0"/>
              <w:right w:val="outset" w:color="auto" w:sz="6" w:space="0"/>
            </w:tcBorders>
            <w:noWrap w:val="0"/>
            <w:vAlign w:val="center"/>
          </w:tcPr>
          <w:p w14:paraId="1510EC90">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t>1</w:t>
            </w:r>
          </w:p>
        </w:tc>
        <w:tc>
          <w:tcPr>
            <w:tcW w:w="1564" w:type="dxa"/>
            <w:tcBorders>
              <w:top w:val="outset" w:color="auto" w:sz="6" w:space="0"/>
              <w:left w:val="outset" w:color="auto" w:sz="6" w:space="0"/>
              <w:bottom w:val="outset" w:color="auto" w:sz="6" w:space="0"/>
              <w:right w:val="outset" w:color="auto" w:sz="6" w:space="0"/>
            </w:tcBorders>
            <w:noWrap w:val="0"/>
            <w:vAlign w:val="center"/>
          </w:tcPr>
          <w:p w14:paraId="769031A0">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t>网络安全设备维保服务</w:t>
            </w:r>
          </w:p>
        </w:tc>
        <w:tc>
          <w:tcPr>
            <w:tcW w:w="734" w:type="dxa"/>
            <w:tcBorders>
              <w:top w:val="outset" w:color="auto" w:sz="6" w:space="0"/>
              <w:left w:val="outset" w:color="auto" w:sz="6" w:space="0"/>
              <w:bottom w:val="outset" w:color="auto" w:sz="6" w:space="0"/>
              <w:right w:val="outset" w:color="auto" w:sz="6" w:space="0"/>
            </w:tcBorders>
            <w:noWrap w:val="0"/>
            <w:vAlign w:val="center"/>
          </w:tcPr>
          <w:p w14:paraId="647FA5C7">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t>1.00</w:t>
            </w:r>
          </w:p>
        </w:tc>
        <w:tc>
          <w:tcPr>
            <w:tcW w:w="1249" w:type="dxa"/>
            <w:tcBorders>
              <w:top w:val="outset" w:color="auto" w:sz="6" w:space="0"/>
              <w:left w:val="outset" w:color="auto" w:sz="6" w:space="0"/>
              <w:bottom w:val="outset" w:color="auto" w:sz="6" w:space="0"/>
              <w:right w:val="outset" w:color="auto" w:sz="6" w:space="0"/>
            </w:tcBorders>
            <w:noWrap w:val="0"/>
            <w:vAlign w:val="center"/>
          </w:tcPr>
          <w:p w14:paraId="3B127E78">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94</w:t>
            </w:r>
            <w:r>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t>,000.00</w:t>
            </w:r>
          </w:p>
        </w:tc>
        <w:tc>
          <w:tcPr>
            <w:tcW w:w="1335" w:type="dxa"/>
            <w:tcBorders>
              <w:top w:val="outset" w:color="auto" w:sz="6" w:space="0"/>
              <w:left w:val="outset" w:color="auto" w:sz="6" w:space="0"/>
              <w:bottom w:val="outset" w:color="auto" w:sz="6" w:space="0"/>
              <w:right w:val="outset" w:color="auto" w:sz="6" w:space="0"/>
            </w:tcBorders>
            <w:noWrap w:val="0"/>
            <w:vAlign w:val="center"/>
          </w:tcPr>
          <w:p w14:paraId="49733679">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lang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lang w:val="en-US" w:eastAsia="zh-CN"/>
                <w14:textFill>
                  <w14:solidFill>
                    <w14:schemeClr w14:val="tx1"/>
                  </w14:solidFill>
                </w14:textFill>
              </w:rPr>
              <w:t>年</w:t>
            </w:r>
          </w:p>
        </w:tc>
        <w:tc>
          <w:tcPr>
            <w:tcW w:w="1578" w:type="dxa"/>
            <w:tcBorders>
              <w:top w:val="outset" w:color="auto" w:sz="6" w:space="0"/>
              <w:left w:val="outset" w:color="auto" w:sz="6" w:space="0"/>
              <w:bottom w:val="outset" w:color="auto" w:sz="6" w:space="0"/>
              <w:right w:val="outset" w:color="auto" w:sz="6" w:space="0"/>
            </w:tcBorders>
            <w:noWrap w:val="0"/>
            <w:vAlign w:val="center"/>
          </w:tcPr>
          <w:p w14:paraId="0A122CD1">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t xml:space="preserve">软件和信息技术服务业 </w:t>
            </w:r>
          </w:p>
        </w:tc>
        <w:tc>
          <w:tcPr>
            <w:tcW w:w="880" w:type="dxa"/>
            <w:tcBorders>
              <w:top w:val="outset" w:color="auto" w:sz="6" w:space="0"/>
              <w:left w:val="outset" w:color="auto" w:sz="6" w:space="0"/>
              <w:bottom w:val="outset" w:color="auto" w:sz="6" w:space="0"/>
              <w:right w:val="outset" w:color="auto" w:sz="6" w:space="0"/>
            </w:tcBorders>
            <w:noWrap w:val="0"/>
            <w:vAlign w:val="center"/>
          </w:tcPr>
          <w:p w14:paraId="45FA73E1">
            <w:pPr>
              <w:spacing w:line="400" w:lineRule="exact"/>
              <w:jc w:val="center"/>
              <w:textAlignment w:val="top"/>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1"/>
                <w:szCs w:val="21"/>
                <w14:textFill>
                  <w14:solidFill>
                    <w14:schemeClr w14:val="tx1"/>
                  </w14:solidFill>
                </w14:textFill>
              </w:rPr>
              <w:t>否</w:t>
            </w:r>
          </w:p>
        </w:tc>
      </w:tr>
    </w:tbl>
    <w:p w14:paraId="4BBEAF91">
      <w:pPr>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eastAsia="zh-CN"/>
          <w14:textFill>
            <w14:solidFill>
              <w14:schemeClr w14:val="tx1"/>
            </w14:solidFill>
          </w14:textFill>
        </w:rPr>
      </w:pPr>
      <w:r>
        <w:rPr>
          <w:rFonts w:hint="eastAsia" w:ascii="宋体" w:hAnsi="宋体" w:eastAsia="宋体" w:cs="宋体"/>
          <w:b/>
          <w:bCs/>
          <w:color w:val="000000" w:themeColor="text1"/>
          <w:kern w:val="0"/>
          <w:sz w:val="32"/>
          <w:szCs w:val="32"/>
          <w:lang w:val="en-US" w:eastAsia="zh-CN" w:bidi="ar-SA"/>
          <w14:textFill>
            <w14:solidFill>
              <w14:schemeClr w14:val="tx1"/>
            </w14:solidFill>
          </w14:textFill>
        </w:rPr>
        <w:t>二、</w:t>
      </w:r>
      <w:r>
        <w:rPr>
          <w:rFonts w:hint="eastAsia" w:ascii="宋体" w:hAnsi="宋体" w:eastAsia="宋体" w:cs="宋体"/>
          <w:b/>
          <w:bCs/>
          <w:color w:val="000000" w:themeColor="text1"/>
          <w:kern w:val="0"/>
          <w:sz w:val="32"/>
          <w:szCs w:val="32"/>
          <w:lang w:eastAsia="zh-CN"/>
          <w14:textFill>
            <w14:solidFill>
              <w14:schemeClr w14:val="tx1"/>
            </w14:solidFill>
          </w14:textFill>
        </w:rPr>
        <w:t>服务内容及相关要求</w:t>
      </w:r>
    </w:p>
    <w:p w14:paraId="5097E719">
      <w:pPr>
        <w:pStyle w:val="14"/>
        <w:keepNext w:val="0"/>
        <w:keepLines w:val="0"/>
        <w:widowControl/>
        <w:suppressLineNumbers w:val="0"/>
        <w:spacing w:before="0" w:beforeAutospacing="0" w:after="0" w:afterAutospacing="0" w:line="560" w:lineRule="exact"/>
        <w:ind w:right="0" w:firstLine="560" w:firstLineChars="200"/>
        <w:rPr>
          <w:rFonts w:hint="eastAsia" w:ascii="宋体" w:hAnsi="宋体" w:eastAsia="宋体" w:cs="宋体"/>
          <w:b/>
          <w:bCs/>
          <w:color w:val="auto"/>
          <w:kern w:val="0"/>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1.技术和服务要求</w:t>
      </w:r>
      <w:r>
        <w:rPr>
          <w:rFonts w:hint="eastAsia" w:ascii="仿宋_GB2312" w:hAnsi="Calibri" w:eastAsia="仿宋_GB2312" w:cs="Times New Roman"/>
          <w:b/>
          <w:bCs/>
          <w:color w:val="000000" w:themeColor="text1"/>
          <w:kern w:val="2"/>
          <w:sz w:val="28"/>
          <w:szCs w:val="28"/>
          <w:lang w:val="en-US" w:eastAsia="zh-CN" w:bidi="ar-SA"/>
          <w14:textFill>
            <w14:solidFill>
              <w14:schemeClr w14:val="tx1"/>
            </w14:solidFill>
          </w14:textFill>
        </w:rPr>
        <w:t>（指标要求必须全部满足，否则按无效报价处理）</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2018"/>
        <w:gridCol w:w="7693"/>
      </w:tblGrid>
      <w:tr w14:paraId="29548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4D7B0D3F">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bookmarkStart w:id="2" w:name="_Toc594"/>
            <w:bookmarkStart w:id="3" w:name="_Toc2841"/>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2018" w:type="dxa"/>
            <w:vAlign w:val="center"/>
          </w:tcPr>
          <w:p w14:paraId="7CB7BFA8">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指标项</w:t>
            </w:r>
          </w:p>
        </w:tc>
        <w:tc>
          <w:tcPr>
            <w:tcW w:w="7693" w:type="dxa"/>
            <w:vAlign w:val="center"/>
          </w:tcPr>
          <w:p w14:paraId="62E6E054">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指标要求</w:t>
            </w:r>
          </w:p>
        </w:tc>
      </w:tr>
      <w:tr w14:paraId="23381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64CE08B5">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2018" w:type="dxa"/>
            <w:vAlign w:val="center"/>
          </w:tcPr>
          <w:p w14:paraId="2708AE01">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维保范围</w:t>
            </w:r>
          </w:p>
        </w:tc>
        <w:tc>
          <w:tcPr>
            <w:tcW w:w="7693" w:type="dxa"/>
            <w:vAlign w:val="center"/>
          </w:tcPr>
          <w:p w14:paraId="0A2FC55E">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日志审计1台（绿盟LASNX3-L2200）、数据库审计1台（绿盟DASNX3-E2000C）、入侵防御1台（绿盟NIPSNX5-CH5300）。</w:t>
            </w:r>
          </w:p>
        </w:tc>
      </w:tr>
      <w:tr w14:paraId="36904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54D7440F">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2018" w:type="dxa"/>
            <w:vAlign w:val="center"/>
          </w:tcPr>
          <w:p w14:paraId="4F00F72D">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硬件质保</w:t>
            </w:r>
          </w:p>
        </w:tc>
        <w:tc>
          <w:tcPr>
            <w:tcW w:w="7693" w:type="dxa"/>
            <w:vAlign w:val="center"/>
          </w:tcPr>
          <w:p w14:paraId="5EAE93E9">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提供故障维修服务，中标人响应时间不超过2小时。如果故障仍然无法排除，为了不影响采购人正常工作， 中标人应向采购人免费提供相应的设备备品备件。若不能提供备品备件，中标人免费提供同等档次备用设备替代使用直至原设备维修完成。若原设备无法维修，中标人所提供的替代设备将供采购人免费使用。</w:t>
            </w:r>
          </w:p>
        </w:tc>
      </w:tr>
      <w:tr w14:paraId="2CBE2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7F9E56FA">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2018" w:type="dxa"/>
            <w:vAlign w:val="center"/>
          </w:tcPr>
          <w:p w14:paraId="2D9FB850">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软件升级</w:t>
            </w:r>
          </w:p>
        </w:tc>
        <w:tc>
          <w:tcPr>
            <w:tcW w:w="7693" w:type="dxa"/>
            <w:vAlign w:val="center"/>
          </w:tcPr>
          <w:p w14:paraId="755A47CB">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对维保设备及时提供设备原厂商最新的升级更新版本或补丁升级程序并实施升级。</w:t>
            </w:r>
          </w:p>
        </w:tc>
      </w:tr>
      <w:tr w14:paraId="4401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7B7D803E">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2018" w:type="dxa"/>
            <w:vAlign w:val="center"/>
          </w:tcPr>
          <w:p w14:paraId="2101E477">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规则库</w:t>
            </w:r>
            <w:r>
              <w:rPr>
                <w:rStyle w:val="26"/>
                <w:rFonts w:asciiTheme="minorEastAsia" w:hAnsiTheme="minorEastAsia" w:eastAsiaTheme="minorEastAsia" w:cstheme="minorEastAsia"/>
                <w:sz w:val="24"/>
                <w:szCs w:val="24"/>
                <w:lang w:val="en-US" w:eastAsia="zh-CN" w:bidi="ar"/>
              </w:rPr>
              <w:t>更新升级</w:t>
            </w:r>
          </w:p>
        </w:tc>
        <w:tc>
          <w:tcPr>
            <w:tcW w:w="7693" w:type="dxa"/>
            <w:vAlign w:val="center"/>
          </w:tcPr>
          <w:p w14:paraId="43C8B28B">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对维保设备的规则库按照原厂标准及时升级到最新，以保障采购人的网络安全。</w:t>
            </w:r>
          </w:p>
        </w:tc>
      </w:tr>
      <w:tr w14:paraId="795C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7AC4434E">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2018" w:type="dxa"/>
            <w:vAlign w:val="center"/>
          </w:tcPr>
          <w:p w14:paraId="455ABFD2">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技术支持服务</w:t>
            </w:r>
          </w:p>
        </w:tc>
        <w:tc>
          <w:tcPr>
            <w:tcW w:w="7693" w:type="dxa"/>
            <w:vAlign w:val="center"/>
          </w:tcPr>
          <w:p w14:paraId="4B3521DC">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提供设备原厂商7*24小时电话或远程技术服务支持。在维保范围内的设备软硬件如遇到问题，无论硬件或软件，实时提供电话或远程技术支持与帮助。</w:t>
            </w:r>
          </w:p>
        </w:tc>
      </w:tr>
      <w:tr w14:paraId="7679B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5A939BC0">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2018" w:type="dxa"/>
            <w:vAlign w:val="center"/>
          </w:tcPr>
          <w:p w14:paraId="099CDD4B">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维保期限</w:t>
            </w:r>
          </w:p>
        </w:tc>
        <w:tc>
          <w:tcPr>
            <w:tcW w:w="7693" w:type="dxa"/>
            <w:vAlign w:val="center"/>
          </w:tcPr>
          <w:p w14:paraId="4971FD97">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维保期限一年。合同生效之日起三个工作日内，中标人须提供相应网络安全设备</w:t>
            </w:r>
            <w:r>
              <w:rPr>
                <w:rStyle w:val="27"/>
                <w:rFonts w:asciiTheme="minorEastAsia" w:hAnsiTheme="minorEastAsia" w:eastAsiaTheme="minorEastAsia" w:cstheme="minorEastAsia"/>
                <w:sz w:val="24"/>
                <w:szCs w:val="24"/>
                <w:lang w:val="en-US" w:eastAsia="zh-CN" w:bidi="ar"/>
              </w:rPr>
              <w:t>授权证书、导入后显示服务</w:t>
            </w:r>
            <w:r>
              <w:rPr>
                <w:rStyle w:val="28"/>
                <w:rFonts w:hint="eastAsia" w:asciiTheme="minorEastAsia" w:hAnsiTheme="minorEastAsia" w:eastAsiaTheme="minorEastAsia" w:cstheme="minorEastAsia"/>
                <w:sz w:val="24"/>
                <w:szCs w:val="24"/>
                <w:lang w:val="en-US" w:eastAsia="zh-CN" w:bidi="ar"/>
              </w:rPr>
              <w:t>/</w:t>
            </w:r>
            <w:r>
              <w:rPr>
                <w:rStyle w:val="27"/>
                <w:rFonts w:asciiTheme="minorEastAsia" w:hAnsiTheme="minorEastAsia" w:eastAsiaTheme="minorEastAsia" w:cstheme="minorEastAsia"/>
                <w:sz w:val="24"/>
                <w:szCs w:val="24"/>
                <w:lang w:val="en-US" w:eastAsia="zh-CN" w:bidi="ar"/>
              </w:rPr>
              <w:t>维保有效期（从导入授权证书之日起</w:t>
            </w:r>
            <w:r>
              <w:rPr>
                <w:rStyle w:val="26"/>
                <w:rFonts w:asciiTheme="minorEastAsia" w:hAnsiTheme="minorEastAsia" w:eastAsiaTheme="minorEastAsia" w:cstheme="minorEastAsia"/>
                <w:sz w:val="24"/>
                <w:szCs w:val="24"/>
                <w:lang w:val="en-US" w:eastAsia="zh-CN" w:bidi="ar"/>
              </w:rPr>
              <w:t>增加一年，原服务期未满的在原服务期满之日起增加一年）。</w:t>
            </w:r>
          </w:p>
        </w:tc>
      </w:tr>
      <w:tr w14:paraId="2F10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14:paraId="5F35EBF0">
            <w:pPr>
              <w:keepNext w:val="0"/>
              <w:keepLines w:val="0"/>
              <w:widowControl/>
              <w:suppressLineNumbers w:val="0"/>
              <w:jc w:val="center"/>
              <w:textAlignment w:val="bottom"/>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2018" w:type="dxa"/>
            <w:vAlign w:val="center"/>
          </w:tcPr>
          <w:p w14:paraId="1E5387E2">
            <w:pPr>
              <w:keepNext w:val="0"/>
              <w:keepLines w:val="0"/>
              <w:widowControl/>
              <w:suppressLineNumbers w:val="0"/>
              <w:jc w:val="center"/>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其他</w:t>
            </w:r>
          </w:p>
        </w:tc>
        <w:tc>
          <w:tcPr>
            <w:tcW w:w="7693" w:type="dxa"/>
            <w:vAlign w:val="center"/>
          </w:tcPr>
          <w:p w14:paraId="534A65A9">
            <w:pPr>
              <w:keepNext w:val="0"/>
              <w:keepLines w:val="0"/>
              <w:widowControl/>
              <w:suppressLineNumbers w:val="0"/>
              <w:spacing w:line="360" w:lineRule="auto"/>
              <w:jc w:val="left"/>
              <w:textAlignment w:val="center"/>
              <w:rPr>
                <w:rFonts w:hint="eastAsia" w:asciiTheme="minorEastAsia" w:hAnsiTheme="minorEastAsia" w:cstheme="minorEastAsia"/>
                <w:sz w:val="24"/>
                <w:szCs w:val="24"/>
                <w:vertAlign w:val="baseline"/>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若维保期内因设备原厂商自身原因无法继续更新升级，中标人需提供厂家盖章的设备停服说明函，并提供符合采购人使用需求的等同年限服务能力替代，以满足服务期要求。</w:t>
            </w:r>
          </w:p>
        </w:tc>
      </w:tr>
    </w:tbl>
    <w:p w14:paraId="1AAEE283">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eastAsia="zh-CN"/>
          <w14:textFill>
            <w14:solidFill>
              <w14:schemeClr w14:val="tx1"/>
            </w14:solidFill>
          </w14:textFill>
        </w:rPr>
      </w:pPr>
      <w:r>
        <w:rPr>
          <w:rFonts w:hint="eastAsia" w:ascii="宋体" w:hAnsi="宋体" w:eastAsia="宋体" w:cs="宋体"/>
          <w:b/>
          <w:bCs/>
          <w:color w:val="000000" w:themeColor="text1"/>
          <w:kern w:val="0"/>
          <w:sz w:val="32"/>
          <w:szCs w:val="32"/>
          <w:lang w:val="en-US" w:eastAsia="zh-CN"/>
          <w14:textFill>
            <w14:solidFill>
              <w14:schemeClr w14:val="tx1"/>
            </w14:solidFill>
          </w14:textFill>
        </w:rPr>
        <w:t>三、服务期限和地点</w:t>
      </w:r>
    </w:p>
    <w:p w14:paraId="341523C3">
      <w:pPr>
        <w:pStyle w:val="14"/>
        <w:keepNext w:val="0"/>
        <w:keepLines w:val="0"/>
        <w:widowControl/>
        <w:suppressLineNumbers w:val="0"/>
        <w:spacing w:before="0" w:beforeAutospacing="0" w:after="0" w:afterAutospacing="0" w:line="560" w:lineRule="exact"/>
        <w:ind w:right="0" w:firstLine="560" w:firstLineChars="200"/>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1.服务期：一年，详见技术和服务要求。</w:t>
      </w:r>
    </w:p>
    <w:p w14:paraId="64BC3D51">
      <w:pPr>
        <w:pStyle w:val="14"/>
        <w:keepNext w:val="0"/>
        <w:keepLines w:val="0"/>
        <w:widowControl/>
        <w:suppressLineNumbers w:val="0"/>
        <w:spacing w:before="0" w:beforeAutospacing="0" w:after="0" w:afterAutospacing="0" w:line="560" w:lineRule="exact"/>
        <w:ind w:right="0" w:firstLine="560" w:firstLineChars="200"/>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2.服务地点：泉州幼儿师范高等专科学校指定地点。</w:t>
      </w:r>
    </w:p>
    <w:p w14:paraId="5411355D">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val="en-US" w:eastAsia="zh-CN"/>
          <w14:textFill>
            <w14:solidFill>
              <w14:schemeClr w14:val="tx1"/>
            </w14:solidFill>
          </w14:textFill>
        </w:rPr>
      </w:pPr>
      <w:r>
        <w:rPr>
          <w:rFonts w:hint="eastAsia" w:ascii="宋体" w:hAnsi="宋体" w:eastAsia="宋体" w:cs="宋体"/>
          <w:b/>
          <w:bCs/>
          <w:color w:val="000000" w:themeColor="text1"/>
          <w:kern w:val="0"/>
          <w:sz w:val="32"/>
          <w:szCs w:val="32"/>
          <w:lang w:val="en-US" w:eastAsia="zh-CN"/>
          <w14:textFill>
            <w14:solidFill>
              <w14:schemeClr w14:val="tx1"/>
            </w14:solidFill>
          </w14:textFill>
        </w:rPr>
        <w:t>四、付款及结算方式要求</w:t>
      </w:r>
    </w:p>
    <w:tbl>
      <w:tblPr>
        <w:tblStyle w:val="17"/>
        <w:tblW w:w="10219" w:type="dxa"/>
        <w:tblInd w:w="0" w:type="dxa"/>
        <w:tblLayout w:type="fixed"/>
        <w:tblCellMar>
          <w:top w:w="0" w:type="dxa"/>
          <w:left w:w="108" w:type="dxa"/>
          <w:bottom w:w="0" w:type="dxa"/>
          <w:right w:w="108" w:type="dxa"/>
        </w:tblCellMar>
      </w:tblPr>
      <w:tblGrid>
        <w:gridCol w:w="1535"/>
        <w:gridCol w:w="2325"/>
        <w:gridCol w:w="6359"/>
      </w:tblGrid>
      <w:tr w14:paraId="0C570686">
        <w:tblPrEx>
          <w:tblCellMar>
            <w:top w:w="0" w:type="dxa"/>
            <w:left w:w="108" w:type="dxa"/>
            <w:bottom w:w="0" w:type="dxa"/>
            <w:right w:w="108" w:type="dxa"/>
          </w:tblCellMar>
        </w:tblPrEx>
        <w:trPr>
          <w:trHeight w:val="574" w:hRule="atLeast"/>
          <w:tblHeader/>
        </w:trPr>
        <w:tc>
          <w:tcPr>
            <w:tcW w:w="153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029BF7C">
            <w:pPr>
              <w:spacing w:line="400" w:lineRule="exact"/>
              <w:jc w:val="center"/>
              <w:rPr>
                <w:rFonts w:cs="宋体"/>
                <w:b/>
                <w:bCs/>
                <w:sz w:val="24"/>
              </w:rPr>
            </w:pPr>
            <w:r>
              <w:rPr>
                <w:rFonts w:hint="eastAsia" w:cs="宋体"/>
                <w:b/>
                <w:bCs/>
                <w:sz w:val="24"/>
              </w:rPr>
              <w:t>支付期次</w:t>
            </w:r>
          </w:p>
        </w:tc>
        <w:tc>
          <w:tcPr>
            <w:tcW w:w="232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79F55209">
            <w:pPr>
              <w:spacing w:line="400" w:lineRule="exact"/>
              <w:jc w:val="center"/>
              <w:rPr>
                <w:rFonts w:cs="宋体"/>
                <w:b/>
                <w:bCs/>
                <w:sz w:val="24"/>
              </w:rPr>
            </w:pPr>
            <w:r>
              <w:rPr>
                <w:rFonts w:hint="eastAsia" w:cs="宋体"/>
                <w:b/>
                <w:bCs/>
                <w:sz w:val="24"/>
              </w:rPr>
              <w:t>支付比例(%)</w:t>
            </w:r>
          </w:p>
        </w:tc>
        <w:tc>
          <w:tcPr>
            <w:tcW w:w="635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2E07D25">
            <w:pPr>
              <w:spacing w:line="400" w:lineRule="exact"/>
              <w:ind w:firstLine="1267" w:firstLineChars="526"/>
              <w:jc w:val="left"/>
              <w:rPr>
                <w:rFonts w:cs="宋体"/>
                <w:b/>
                <w:bCs/>
                <w:sz w:val="24"/>
              </w:rPr>
            </w:pPr>
            <w:r>
              <w:rPr>
                <w:rFonts w:hint="eastAsia" w:cs="宋体"/>
                <w:b/>
                <w:bCs/>
                <w:sz w:val="24"/>
              </w:rPr>
              <w:t>支付期次说明</w:t>
            </w:r>
          </w:p>
        </w:tc>
      </w:tr>
      <w:tr w14:paraId="5832C412">
        <w:tblPrEx>
          <w:tblCellMar>
            <w:top w:w="0" w:type="dxa"/>
            <w:left w:w="108" w:type="dxa"/>
            <w:bottom w:w="0" w:type="dxa"/>
            <w:right w:w="108" w:type="dxa"/>
          </w:tblCellMar>
        </w:tblPrEx>
        <w:trPr>
          <w:trHeight w:val="595" w:hRule="atLeast"/>
        </w:trPr>
        <w:tc>
          <w:tcPr>
            <w:tcW w:w="153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27C45D0">
            <w:pPr>
              <w:autoSpaceDE w:val="0"/>
              <w:autoSpaceDN w:val="0"/>
              <w:spacing w:line="320" w:lineRule="exact"/>
              <w:jc w:val="center"/>
              <w:rPr>
                <w:rFonts w:cs="宋体"/>
                <w:sz w:val="24"/>
              </w:rPr>
            </w:pPr>
            <w:r>
              <w:rPr>
                <w:rFonts w:hint="eastAsia" w:ascii="宋体" w:hAnsi="宋体"/>
                <w:sz w:val="24"/>
                <w:szCs w:val="28"/>
              </w:rPr>
              <w:t>1</w:t>
            </w:r>
          </w:p>
        </w:tc>
        <w:tc>
          <w:tcPr>
            <w:tcW w:w="232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431221F">
            <w:pPr>
              <w:autoSpaceDE w:val="0"/>
              <w:autoSpaceDN w:val="0"/>
              <w:spacing w:line="320" w:lineRule="exact"/>
              <w:jc w:val="center"/>
              <w:rPr>
                <w:rFonts w:hint="default" w:cs="宋体" w:eastAsiaTheme="minorEastAsia"/>
                <w:sz w:val="24"/>
                <w:lang w:val="en-US" w:eastAsia="zh-CN"/>
              </w:rPr>
            </w:pPr>
            <w:r>
              <w:rPr>
                <w:rFonts w:hint="eastAsia" w:ascii="宋体" w:hAnsi="宋体"/>
                <w:sz w:val="24"/>
                <w:szCs w:val="28"/>
                <w:lang w:val="en-US" w:eastAsia="zh-CN"/>
              </w:rPr>
              <w:t>50</w:t>
            </w:r>
          </w:p>
        </w:tc>
        <w:tc>
          <w:tcPr>
            <w:tcW w:w="635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tcPr>
          <w:p w14:paraId="6DB69639">
            <w:pPr>
              <w:autoSpaceDE w:val="0"/>
              <w:autoSpaceDN w:val="0"/>
              <w:spacing w:line="360" w:lineRule="auto"/>
              <w:jc w:val="left"/>
              <w:rPr>
                <w:rFonts w:hint="eastAsia" w:cs="宋体" w:eastAsiaTheme="minorEastAsia"/>
                <w:sz w:val="24"/>
                <w:lang w:eastAsia="zh-CN"/>
              </w:rPr>
            </w:pPr>
            <w:r>
              <w:rPr>
                <w:rFonts w:hint="eastAsia" w:ascii="宋体" w:hAnsi="宋体"/>
                <w:sz w:val="24"/>
                <w:szCs w:val="28"/>
              </w:rPr>
              <w:t>中标人提供相应网络安全设备授权证书</w:t>
            </w:r>
            <w:r>
              <w:rPr>
                <w:rFonts w:hint="eastAsia" w:ascii="宋体" w:hAnsi="宋体"/>
                <w:sz w:val="24"/>
                <w:szCs w:val="28"/>
                <w:lang w:eastAsia="zh-CN"/>
              </w:rPr>
              <w:t>，导入成功后，中标人提供等额正式发票，采购人在</w:t>
            </w:r>
            <w:r>
              <w:rPr>
                <w:rFonts w:hint="eastAsia" w:ascii="宋体" w:hAnsi="宋体"/>
                <w:sz w:val="24"/>
                <w:szCs w:val="28"/>
                <w:lang w:val="en-US" w:eastAsia="zh-CN"/>
              </w:rPr>
              <w:t>15</w:t>
            </w:r>
            <w:r>
              <w:rPr>
                <w:rFonts w:hint="eastAsia" w:ascii="宋体" w:hAnsi="宋体"/>
                <w:sz w:val="24"/>
                <w:szCs w:val="28"/>
                <w:lang w:eastAsia="zh-CN"/>
              </w:rPr>
              <w:t>日内支付合同总价款的50%。</w:t>
            </w:r>
          </w:p>
        </w:tc>
      </w:tr>
      <w:tr w14:paraId="0EE18483">
        <w:tblPrEx>
          <w:tblCellMar>
            <w:top w:w="0" w:type="dxa"/>
            <w:left w:w="108" w:type="dxa"/>
            <w:bottom w:w="0" w:type="dxa"/>
            <w:right w:w="108" w:type="dxa"/>
          </w:tblCellMar>
        </w:tblPrEx>
        <w:trPr>
          <w:trHeight w:val="595" w:hRule="atLeast"/>
        </w:trPr>
        <w:tc>
          <w:tcPr>
            <w:tcW w:w="153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20FB4C3">
            <w:pPr>
              <w:autoSpaceDE w:val="0"/>
              <w:autoSpaceDN w:val="0"/>
              <w:spacing w:line="320" w:lineRule="exact"/>
              <w:jc w:val="center"/>
              <w:rPr>
                <w:rFonts w:cs="宋体"/>
                <w:sz w:val="24"/>
              </w:rPr>
            </w:pPr>
            <w:r>
              <w:rPr>
                <w:rFonts w:hint="eastAsia" w:ascii="宋体" w:hAnsi="宋体"/>
                <w:sz w:val="24"/>
                <w:szCs w:val="28"/>
              </w:rPr>
              <w:t>2</w:t>
            </w:r>
          </w:p>
        </w:tc>
        <w:tc>
          <w:tcPr>
            <w:tcW w:w="2325"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4EE3E2D">
            <w:pPr>
              <w:autoSpaceDE w:val="0"/>
              <w:autoSpaceDN w:val="0"/>
              <w:spacing w:line="320" w:lineRule="exact"/>
              <w:jc w:val="center"/>
              <w:rPr>
                <w:rFonts w:hint="default" w:cs="宋体" w:eastAsiaTheme="minorEastAsia"/>
                <w:sz w:val="24"/>
                <w:lang w:val="en-US" w:eastAsia="zh-CN"/>
              </w:rPr>
            </w:pPr>
            <w:r>
              <w:rPr>
                <w:rFonts w:hint="eastAsia" w:ascii="宋体" w:hAnsi="宋体"/>
                <w:sz w:val="24"/>
                <w:szCs w:val="28"/>
                <w:lang w:val="en-US" w:eastAsia="zh-CN"/>
              </w:rPr>
              <w:t>50</w:t>
            </w:r>
          </w:p>
        </w:tc>
        <w:tc>
          <w:tcPr>
            <w:tcW w:w="6359"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tcPr>
          <w:p w14:paraId="1DB5131C">
            <w:pPr>
              <w:autoSpaceDE w:val="0"/>
              <w:autoSpaceDN w:val="0"/>
              <w:spacing w:line="360" w:lineRule="auto"/>
              <w:jc w:val="left"/>
              <w:rPr>
                <w:rFonts w:hint="eastAsia" w:ascii="宋体" w:hAnsi="宋体" w:cs="宋体" w:eastAsiaTheme="minorEastAsia"/>
                <w:sz w:val="24"/>
                <w:lang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合同生效之日</w:t>
            </w:r>
            <w:r>
              <w:rPr>
                <w:rFonts w:hint="eastAsia" w:ascii="宋体" w:hAnsi="宋体"/>
                <w:sz w:val="24"/>
                <w:szCs w:val="28"/>
                <w:lang w:eastAsia="zh-CN"/>
              </w:rPr>
              <w:t>起一年期满</w:t>
            </w:r>
            <w:r>
              <w:rPr>
                <w:rFonts w:hint="eastAsia" w:ascii="宋体" w:hAnsi="宋体"/>
                <w:sz w:val="24"/>
                <w:szCs w:val="28"/>
              </w:rPr>
              <w:t>，</w:t>
            </w:r>
            <w:r>
              <w:rPr>
                <w:rFonts w:hint="eastAsia" w:ascii="宋体" w:hAnsi="宋体"/>
                <w:sz w:val="24"/>
                <w:szCs w:val="28"/>
                <w:lang w:eastAsia="zh-CN"/>
              </w:rPr>
              <w:t>经</w:t>
            </w:r>
            <w:r>
              <w:rPr>
                <w:rFonts w:hint="eastAsia" w:ascii="宋体" w:hAnsi="宋体"/>
                <w:sz w:val="24"/>
                <w:szCs w:val="28"/>
              </w:rPr>
              <w:t>采购人验收合格</w:t>
            </w:r>
            <w:r>
              <w:rPr>
                <w:rFonts w:hint="eastAsia" w:ascii="宋体" w:hAnsi="宋体"/>
                <w:sz w:val="24"/>
                <w:szCs w:val="28"/>
                <w:lang w:eastAsia="zh-CN"/>
              </w:rPr>
              <w:t>，中标人提供等额正式发票，采购人在</w:t>
            </w:r>
            <w:r>
              <w:rPr>
                <w:rFonts w:hint="eastAsia" w:ascii="宋体" w:hAnsi="宋体"/>
                <w:sz w:val="24"/>
                <w:szCs w:val="28"/>
              </w:rPr>
              <w:t>15日内</w:t>
            </w:r>
            <w:r>
              <w:rPr>
                <w:rFonts w:hint="eastAsia" w:ascii="宋体" w:hAnsi="宋体"/>
                <w:sz w:val="24"/>
                <w:szCs w:val="28"/>
                <w:lang w:eastAsia="zh-CN"/>
              </w:rPr>
              <w:t>支付</w:t>
            </w:r>
            <w:r>
              <w:rPr>
                <w:rFonts w:hint="eastAsia" w:ascii="宋体" w:hAnsi="宋体"/>
                <w:sz w:val="24"/>
                <w:szCs w:val="28"/>
              </w:rPr>
              <w:t>合同</w:t>
            </w:r>
            <w:r>
              <w:rPr>
                <w:rFonts w:hint="eastAsia" w:ascii="宋体" w:hAnsi="宋体"/>
                <w:sz w:val="24"/>
                <w:szCs w:val="28"/>
                <w:lang w:eastAsia="zh-CN"/>
              </w:rPr>
              <w:t>总</w:t>
            </w:r>
            <w:r>
              <w:rPr>
                <w:rFonts w:hint="eastAsia" w:ascii="宋体" w:hAnsi="宋体"/>
                <w:sz w:val="24"/>
                <w:szCs w:val="28"/>
              </w:rPr>
              <w:t>价款的</w:t>
            </w:r>
            <w:r>
              <w:rPr>
                <w:rFonts w:hint="eastAsia" w:ascii="宋体" w:hAnsi="宋体"/>
                <w:sz w:val="24"/>
                <w:szCs w:val="28"/>
                <w:lang w:val="en-US" w:eastAsia="zh-CN"/>
              </w:rPr>
              <w:t>50</w:t>
            </w:r>
            <w:r>
              <w:rPr>
                <w:rFonts w:hint="eastAsia" w:ascii="宋体" w:hAnsi="宋体"/>
                <w:sz w:val="24"/>
                <w:szCs w:val="28"/>
              </w:rPr>
              <w:t>%</w:t>
            </w:r>
            <w:r>
              <w:rPr>
                <w:rFonts w:hint="eastAsia" w:ascii="宋体" w:hAnsi="宋体"/>
                <w:sz w:val="24"/>
                <w:szCs w:val="28"/>
                <w:lang w:eastAsia="zh-CN"/>
              </w:rPr>
              <w:t>。</w:t>
            </w:r>
          </w:p>
        </w:tc>
      </w:tr>
    </w:tbl>
    <w:p w14:paraId="3A16D718">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val="en-US" w:eastAsia="zh-CN"/>
          <w14:textFill>
            <w14:solidFill>
              <w14:schemeClr w14:val="tx1"/>
            </w14:solidFill>
          </w14:textFill>
        </w:rPr>
      </w:pPr>
      <w:r>
        <w:rPr>
          <w:rFonts w:hint="eastAsia" w:ascii="宋体" w:hAnsi="宋体" w:eastAsia="宋体" w:cs="宋体"/>
          <w:b/>
          <w:bCs/>
          <w:color w:val="000000" w:themeColor="text1"/>
          <w:kern w:val="0"/>
          <w:sz w:val="32"/>
          <w:szCs w:val="32"/>
          <w:lang w:val="en-US" w:eastAsia="zh-CN"/>
          <w14:textFill>
            <w14:solidFill>
              <w14:schemeClr w14:val="tx1"/>
            </w14:solidFill>
          </w14:textFill>
        </w:rPr>
        <w:t>五、履约保证金</w:t>
      </w:r>
    </w:p>
    <w:p w14:paraId="3C8AAD7B">
      <w:pPr>
        <w:pStyle w:val="6"/>
        <w:numPr>
          <w:ilvl w:val="-1"/>
          <w:numId w:val="0"/>
        </w:numPr>
        <w:autoSpaceDE w:val="0"/>
        <w:autoSpaceDN w:val="0"/>
        <w:ind w:firstLine="560" w:firstLineChars="200"/>
        <w:rPr>
          <w:rFonts w:hint="eastAsia"/>
          <w:lang w:val="en-US" w:eastAsia="zh-CN"/>
        </w:rPr>
      </w:pPr>
      <w:r>
        <w:rPr>
          <w:rFonts w:hint="eastAsia"/>
          <w:lang w:val="en-US" w:eastAsia="zh-CN"/>
        </w:rPr>
        <w:t>本项目无履约保证金。</w:t>
      </w:r>
    </w:p>
    <w:p w14:paraId="64AF5B50">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val="en-US" w:eastAsia="zh-CN"/>
          <w14:textFill>
            <w14:solidFill>
              <w14:schemeClr w14:val="tx1"/>
            </w14:solidFill>
          </w14:textFill>
        </w:rPr>
      </w:pPr>
      <w:r>
        <w:rPr>
          <w:rFonts w:hint="eastAsia" w:ascii="宋体" w:hAnsi="宋体" w:eastAsia="宋体" w:cs="宋体"/>
          <w:b/>
          <w:bCs/>
          <w:color w:val="000000" w:themeColor="text1"/>
          <w:kern w:val="0"/>
          <w:sz w:val="32"/>
          <w:szCs w:val="32"/>
          <w:lang w:val="en-US" w:eastAsia="zh-CN"/>
          <w14:textFill>
            <w14:solidFill>
              <w14:schemeClr w14:val="tx1"/>
            </w14:solidFill>
          </w14:textFill>
        </w:rPr>
        <w:t>六、违约责任</w:t>
      </w:r>
    </w:p>
    <w:p w14:paraId="11F63DAE">
      <w:pPr>
        <w:pStyle w:val="14"/>
        <w:keepNext w:val="0"/>
        <w:keepLines w:val="0"/>
        <w:widowControl/>
        <w:suppressLineNumbers w:val="0"/>
        <w:spacing w:before="75" w:beforeAutospacing="0" w:after="75" w:afterAutospacing="0"/>
        <w:ind w:right="0" w:firstLine="560" w:firstLineChars="200"/>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1.因中标人原因造成服务合同无法按时签订，视为中标人违约，中标人应承担违约造成的损失并向学校支付中标价总金额10%的违约金。</w:t>
      </w:r>
    </w:p>
    <w:p w14:paraId="4D056746">
      <w:pPr>
        <w:pStyle w:val="14"/>
        <w:keepNext w:val="0"/>
        <w:keepLines w:val="0"/>
        <w:widowControl/>
        <w:suppressLineNumbers w:val="0"/>
        <w:spacing w:before="75" w:beforeAutospacing="0" w:after="75" w:afterAutospacing="0"/>
        <w:ind w:right="0" w:firstLine="560" w:firstLineChars="200"/>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2.在签订采购合同之后，中标人不履行或不能履行合同的，中标人应承担由此造成的损失并向学校支付合同价总金额15%的违约金。</w:t>
      </w:r>
    </w:p>
    <w:p w14:paraId="7F8C5B4F">
      <w:pPr>
        <w:pStyle w:val="14"/>
        <w:keepNext w:val="0"/>
        <w:keepLines w:val="0"/>
        <w:widowControl/>
        <w:suppressLineNumbers w:val="0"/>
        <w:spacing w:before="75" w:beforeAutospacing="0" w:after="75" w:afterAutospacing="0"/>
        <w:ind w:right="0" w:firstLine="560" w:firstLineChars="200"/>
        <w:rPr>
          <w:rFonts w:hint="eastAsia" w:ascii="宋体" w:hAnsi="宋体" w:eastAsia="宋体" w:cs="宋体"/>
          <w:color w:val="000000" w:themeColor="text1"/>
          <w:kern w:val="0"/>
          <w:sz w:val="24"/>
          <w:szCs w:val="24"/>
          <w:lang w:eastAsia="zh-CN"/>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3.对于不可抗拒的原因等客观因素造成不能履行合同的，双方根据客观情况协商处理。</w:t>
      </w:r>
    </w:p>
    <w:p w14:paraId="5BC9517C">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rPr>
          <w:rFonts w:hint="eastAsia" w:ascii="宋体" w:hAnsi="宋体" w:eastAsia="宋体" w:cs="宋体"/>
          <w:b/>
          <w:bCs/>
          <w:color w:val="000000" w:themeColor="text1"/>
          <w:kern w:val="0"/>
          <w:sz w:val="32"/>
          <w:szCs w:val="32"/>
          <w:lang w:val="en-US" w:eastAsia="zh-CN"/>
          <w14:textFill>
            <w14:solidFill>
              <w14:schemeClr w14:val="tx1"/>
            </w14:solidFill>
          </w14:textFill>
        </w:rPr>
      </w:pPr>
      <w:r>
        <w:rPr>
          <w:rFonts w:hint="eastAsia" w:ascii="宋体" w:hAnsi="宋体" w:eastAsia="宋体" w:cs="宋体"/>
          <w:b/>
          <w:bCs/>
          <w:color w:val="000000" w:themeColor="text1"/>
          <w:kern w:val="0"/>
          <w:sz w:val="32"/>
          <w:szCs w:val="32"/>
          <w:lang w:val="en-US" w:eastAsia="zh-CN"/>
          <w14:textFill>
            <w14:solidFill>
              <w14:schemeClr w14:val="tx1"/>
            </w14:solidFill>
          </w14:textFill>
        </w:rPr>
        <w:t>七、评标办法</w:t>
      </w:r>
    </w:p>
    <w:p w14:paraId="794A9D1C">
      <w:pPr>
        <w:pStyle w:val="14"/>
        <w:keepNext w:val="0"/>
        <w:keepLines w:val="0"/>
        <w:widowControl/>
        <w:suppressLineNumbers w:val="0"/>
        <w:spacing w:before="75" w:beforeAutospacing="0" w:after="75" w:afterAutospacing="0"/>
        <w:ind w:right="0" w:firstLine="560" w:firstLineChars="200"/>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r>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t>最低评标价法。</w:t>
      </w:r>
      <w:bookmarkEnd w:id="2"/>
      <w:bookmarkEnd w:id="3"/>
    </w:p>
    <w:p w14:paraId="0A7DB4B2">
      <w:pPr>
        <w:pStyle w:val="14"/>
        <w:keepNext w:val="0"/>
        <w:keepLines w:val="0"/>
        <w:widowControl/>
        <w:suppressLineNumbers w:val="0"/>
        <w:spacing w:before="75" w:beforeAutospacing="0" w:after="75" w:afterAutospacing="0"/>
        <w:ind w:right="0" w:firstLine="560" w:firstLineChars="200"/>
        <w:rPr>
          <w:rFonts w:hint="eastAsia" w:ascii="仿宋_GB2312" w:hAnsi="Calibri" w:eastAsia="仿宋_GB2312" w:cs="Times New Roman"/>
          <w:color w:val="000000" w:themeColor="text1"/>
          <w:kern w:val="2"/>
          <w:sz w:val="28"/>
          <w:szCs w:val="28"/>
          <w:lang w:val="en-US" w:eastAsia="zh-CN" w:bidi="ar-SA"/>
          <w14:textFill>
            <w14:solidFill>
              <w14:schemeClr w14:val="tx1"/>
            </w14:solidFill>
          </w14:textFill>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8E0A84"/>
    <w:multiLevelType w:val="multilevel"/>
    <w:tmpl w:val="128E0A84"/>
    <w:lvl w:ilvl="0" w:tentative="0">
      <w:start w:val="1"/>
      <w:numFmt w:val="japaneseCounting"/>
      <w:pStyle w:val="2"/>
      <w:lvlText w:val="%1、"/>
      <w:lvlJc w:val="left"/>
      <w:pPr>
        <w:ind w:left="1279" w:hanging="5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iZDc5ODJjYjFlY2JiNjk3ZTQ4ODFiNGQ2ODRmYTIifQ=="/>
  </w:docVars>
  <w:rsids>
    <w:rsidRoot w:val="40A24855"/>
    <w:rsid w:val="003822AC"/>
    <w:rsid w:val="00396CDA"/>
    <w:rsid w:val="0107469A"/>
    <w:rsid w:val="026B74AB"/>
    <w:rsid w:val="06A62EE2"/>
    <w:rsid w:val="07CC0B77"/>
    <w:rsid w:val="084F33CB"/>
    <w:rsid w:val="087C1991"/>
    <w:rsid w:val="08A026E9"/>
    <w:rsid w:val="08B02E0E"/>
    <w:rsid w:val="08B541F8"/>
    <w:rsid w:val="08D31906"/>
    <w:rsid w:val="091049D8"/>
    <w:rsid w:val="09B27A4A"/>
    <w:rsid w:val="0AED4AF2"/>
    <w:rsid w:val="0B9F3D21"/>
    <w:rsid w:val="0C2828E7"/>
    <w:rsid w:val="0CF30C95"/>
    <w:rsid w:val="0D6244F7"/>
    <w:rsid w:val="0D9A0C44"/>
    <w:rsid w:val="0DBC505E"/>
    <w:rsid w:val="0DCB13F4"/>
    <w:rsid w:val="0E5376F8"/>
    <w:rsid w:val="102555F9"/>
    <w:rsid w:val="10530285"/>
    <w:rsid w:val="10F655D7"/>
    <w:rsid w:val="117476E4"/>
    <w:rsid w:val="12335595"/>
    <w:rsid w:val="12BB7426"/>
    <w:rsid w:val="13A63124"/>
    <w:rsid w:val="13AF7518"/>
    <w:rsid w:val="13DD18EF"/>
    <w:rsid w:val="13E32BB2"/>
    <w:rsid w:val="14A35169"/>
    <w:rsid w:val="17D7279A"/>
    <w:rsid w:val="17E85436"/>
    <w:rsid w:val="18B2778A"/>
    <w:rsid w:val="19726F19"/>
    <w:rsid w:val="19F070A7"/>
    <w:rsid w:val="19F8761D"/>
    <w:rsid w:val="1A0A078A"/>
    <w:rsid w:val="1A3D7527"/>
    <w:rsid w:val="1A622AE9"/>
    <w:rsid w:val="1AD15C67"/>
    <w:rsid w:val="1C2568F1"/>
    <w:rsid w:val="1C403CCF"/>
    <w:rsid w:val="1D100BB7"/>
    <w:rsid w:val="1D4B6CB9"/>
    <w:rsid w:val="1D6372A4"/>
    <w:rsid w:val="1DBA74D5"/>
    <w:rsid w:val="1E3113E2"/>
    <w:rsid w:val="1E5135A1"/>
    <w:rsid w:val="1EDA7D85"/>
    <w:rsid w:val="1EFE5C3C"/>
    <w:rsid w:val="1F9952FE"/>
    <w:rsid w:val="205D0733"/>
    <w:rsid w:val="20AA26E5"/>
    <w:rsid w:val="22A76CAB"/>
    <w:rsid w:val="23C9745A"/>
    <w:rsid w:val="24F74164"/>
    <w:rsid w:val="25043CC9"/>
    <w:rsid w:val="25C32FD6"/>
    <w:rsid w:val="27B150B0"/>
    <w:rsid w:val="29FC36DF"/>
    <w:rsid w:val="2A0B4F4C"/>
    <w:rsid w:val="2BB60B25"/>
    <w:rsid w:val="2C1F7513"/>
    <w:rsid w:val="2C496033"/>
    <w:rsid w:val="2D2035A2"/>
    <w:rsid w:val="2D385444"/>
    <w:rsid w:val="300936DD"/>
    <w:rsid w:val="30687E68"/>
    <w:rsid w:val="30C47C02"/>
    <w:rsid w:val="326E3463"/>
    <w:rsid w:val="32EB52BC"/>
    <w:rsid w:val="347E456C"/>
    <w:rsid w:val="34847DD4"/>
    <w:rsid w:val="350A5F93"/>
    <w:rsid w:val="36B50719"/>
    <w:rsid w:val="36E33FA7"/>
    <w:rsid w:val="37556B25"/>
    <w:rsid w:val="3869321A"/>
    <w:rsid w:val="38FE0016"/>
    <w:rsid w:val="393F354E"/>
    <w:rsid w:val="39EA56E2"/>
    <w:rsid w:val="3BC94324"/>
    <w:rsid w:val="3BD032C2"/>
    <w:rsid w:val="3CC539FE"/>
    <w:rsid w:val="3D440D11"/>
    <w:rsid w:val="3E78202C"/>
    <w:rsid w:val="3EB5502E"/>
    <w:rsid w:val="3EDA07F4"/>
    <w:rsid w:val="3F8A0269"/>
    <w:rsid w:val="3FA6529D"/>
    <w:rsid w:val="40A24855"/>
    <w:rsid w:val="411C1395"/>
    <w:rsid w:val="41DE7476"/>
    <w:rsid w:val="42B3713F"/>
    <w:rsid w:val="42F500EF"/>
    <w:rsid w:val="43081771"/>
    <w:rsid w:val="44B0274F"/>
    <w:rsid w:val="452A355F"/>
    <w:rsid w:val="45CF3980"/>
    <w:rsid w:val="45E71C58"/>
    <w:rsid w:val="45ED2D2A"/>
    <w:rsid w:val="460E39A2"/>
    <w:rsid w:val="46195EA3"/>
    <w:rsid w:val="47BC519C"/>
    <w:rsid w:val="47CC58C3"/>
    <w:rsid w:val="48FF56D4"/>
    <w:rsid w:val="4E9D1D67"/>
    <w:rsid w:val="4F5302F0"/>
    <w:rsid w:val="4F692941"/>
    <w:rsid w:val="508C30E1"/>
    <w:rsid w:val="50F03F3D"/>
    <w:rsid w:val="51367B46"/>
    <w:rsid w:val="51B15890"/>
    <w:rsid w:val="522B1106"/>
    <w:rsid w:val="53016C3F"/>
    <w:rsid w:val="53070517"/>
    <w:rsid w:val="5354676C"/>
    <w:rsid w:val="535B3F9E"/>
    <w:rsid w:val="53A2397B"/>
    <w:rsid w:val="551B1C37"/>
    <w:rsid w:val="559509CD"/>
    <w:rsid w:val="56075D18"/>
    <w:rsid w:val="56B444E4"/>
    <w:rsid w:val="574014E1"/>
    <w:rsid w:val="58DC3B1C"/>
    <w:rsid w:val="59367825"/>
    <w:rsid w:val="59AC3B2A"/>
    <w:rsid w:val="59E92304"/>
    <w:rsid w:val="5A484022"/>
    <w:rsid w:val="5A60662C"/>
    <w:rsid w:val="5A8042EB"/>
    <w:rsid w:val="5A880B56"/>
    <w:rsid w:val="5D131446"/>
    <w:rsid w:val="5D30424F"/>
    <w:rsid w:val="5D6F2B20"/>
    <w:rsid w:val="5DC43D9A"/>
    <w:rsid w:val="5E2E659E"/>
    <w:rsid w:val="5F6B75FB"/>
    <w:rsid w:val="604B7C50"/>
    <w:rsid w:val="60B12805"/>
    <w:rsid w:val="6136085D"/>
    <w:rsid w:val="6230263F"/>
    <w:rsid w:val="62594E06"/>
    <w:rsid w:val="6284166C"/>
    <w:rsid w:val="63646FAC"/>
    <w:rsid w:val="63A025BD"/>
    <w:rsid w:val="64B21C7F"/>
    <w:rsid w:val="64BA216D"/>
    <w:rsid w:val="65B73683"/>
    <w:rsid w:val="670F2C7E"/>
    <w:rsid w:val="674347BF"/>
    <w:rsid w:val="681F58A2"/>
    <w:rsid w:val="68570D81"/>
    <w:rsid w:val="68AB7912"/>
    <w:rsid w:val="693966D8"/>
    <w:rsid w:val="69E44896"/>
    <w:rsid w:val="6A8E0099"/>
    <w:rsid w:val="6D3469B7"/>
    <w:rsid w:val="6DB602F7"/>
    <w:rsid w:val="6F12734A"/>
    <w:rsid w:val="6F751AEC"/>
    <w:rsid w:val="7020373F"/>
    <w:rsid w:val="704368F9"/>
    <w:rsid w:val="7090488A"/>
    <w:rsid w:val="70B5413B"/>
    <w:rsid w:val="70BF8C59"/>
    <w:rsid w:val="70D17DAD"/>
    <w:rsid w:val="71FD4747"/>
    <w:rsid w:val="72386226"/>
    <w:rsid w:val="73107FB9"/>
    <w:rsid w:val="739F5F26"/>
    <w:rsid w:val="73AF1A71"/>
    <w:rsid w:val="73DE4104"/>
    <w:rsid w:val="742A5799"/>
    <w:rsid w:val="74A30B84"/>
    <w:rsid w:val="74B37621"/>
    <w:rsid w:val="74E82EC6"/>
    <w:rsid w:val="75927DFF"/>
    <w:rsid w:val="75D03F20"/>
    <w:rsid w:val="775102BC"/>
    <w:rsid w:val="77A318EC"/>
    <w:rsid w:val="77FF0D49"/>
    <w:rsid w:val="784168DC"/>
    <w:rsid w:val="786C6182"/>
    <w:rsid w:val="786F39C9"/>
    <w:rsid w:val="78897520"/>
    <w:rsid w:val="795566B4"/>
    <w:rsid w:val="79647A53"/>
    <w:rsid w:val="7A12486F"/>
    <w:rsid w:val="7B1A0118"/>
    <w:rsid w:val="7D4D3C62"/>
    <w:rsid w:val="7D7A20B4"/>
    <w:rsid w:val="7D7F24B4"/>
    <w:rsid w:val="7E760E0F"/>
    <w:rsid w:val="7F1E51AF"/>
    <w:rsid w:val="7F8738A2"/>
    <w:rsid w:val="7FD2AB74"/>
    <w:rsid w:val="7FDD1714"/>
    <w:rsid w:val="CEEFA41D"/>
    <w:rsid w:val="F27EEA32"/>
    <w:rsid w:val="F7D1C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120" w:after="120"/>
      <w:ind w:left="573" w:hanging="573"/>
      <w:outlineLvl w:val="0"/>
    </w:pPr>
    <w:rPr>
      <w:rFonts w:ascii="华文宋体" w:hAnsi="华文宋体" w:eastAsia="华文宋体"/>
      <w:b/>
      <w:color w:val="000000"/>
      <w:sz w:val="28"/>
      <w:szCs w:val="28"/>
    </w:rPr>
  </w:style>
  <w:style w:type="paragraph" w:styleId="3">
    <w:name w:val="heading 2"/>
    <w:basedOn w:val="1"/>
    <w:next w:val="1"/>
    <w:unhideWhenUsed/>
    <w:qFormat/>
    <w:uiPriority w:val="0"/>
    <w:pPr>
      <w:keepNext/>
      <w:keepLines/>
      <w:spacing w:line="415" w:lineRule="auto"/>
      <w:outlineLvl w:val="1"/>
    </w:pPr>
    <w:rPr>
      <w:rFonts w:ascii="Arial" w:hAnsi="Arial" w:eastAsia="黑体"/>
      <w:b/>
      <w:bCs/>
      <w:kern w:val="0"/>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style>
  <w:style w:type="paragraph" w:styleId="5">
    <w:name w:val="annotation text"/>
    <w:basedOn w:val="1"/>
    <w:qFormat/>
    <w:uiPriority w:val="0"/>
    <w:pPr>
      <w:jc w:val="left"/>
    </w:pPr>
  </w:style>
  <w:style w:type="paragraph" w:styleId="6">
    <w:name w:val="Body Text"/>
    <w:basedOn w:val="1"/>
    <w:next w:val="1"/>
    <w:qFormat/>
    <w:uiPriority w:val="99"/>
    <w:rPr>
      <w:sz w:val="28"/>
    </w:rPr>
  </w:style>
  <w:style w:type="paragraph" w:styleId="7">
    <w:name w:val="Body Text Indent"/>
    <w:basedOn w:val="1"/>
    <w:qFormat/>
    <w:uiPriority w:val="0"/>
    <w:pPr>
      <w:spacing w:after="120"/>
      <w:ind w:left="420" w:leftChars="200"/>
    </w:pPr>
    <w:rPr>
      <w:szCs w:val="24"/>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envelope return"/>
    <w:basedOn w:val="1"/>
    <w:qFormat/>
    <w:uiPriority w:val="0"/>
    <w:pPr>
      <w:snapToGrid w:val="0"/>
    </w:pPr>
    <w:rPr>
      <w:rFonts w:ascii="Arial" w:hAnsi="Arial"/>
    </w:rPr>
  </w:style>
  <w:style w:type="paragraph" w:styleId="10">
    <w:name w:val="toc 1"/>
    <w:basedOn w:val="1"/>
    <w:next w:val="1"/>
    <w:qFormat/>
    <w:uiPriority w:val="0"/>
  </w:style>
  <w:style w:type="paragraph" w:styleId="11">
    <w:name w:val="Body Text Indent 3"/>
    <w:basedOn w:val="1"/>
    <w:unhideWhenUsed/>
    <w:qFormat/>
    <w:uiPriority w:val="0"/>
    <w:pPr>
      <w:ind w:left="360" w:firstLine="480"/>
    </w:pPr>
    <w:rPr>
      <w:sz w:val="24"/>
      <w:szCs w:val="20"/>
    </w:rPr>
  </w:style>
  <w:style w:type="paragraph" w:styleId="12">
    <w:name w:val="toc 2"/>
    <w:basedOn w:val="1"/>
    <w:next w:val="1"/>
    <w:qFormat/>
    <w:uiPriority w:val="0"/>
    <w:pPr>
      <w:ind w:left="420" w:leftChars="200"/>
    </w:pPr>
  </w:style>
  <w:style w:type="paragraph" w:styleId="13">
    <w:name w:val="Body Text 2"/>
    <w:basedOn w:val="1"/>
    <w:qFormat/>
    <w:uiPriority w:val="0"/>
    <w:rPr>
      <w:rFonts w:ascii="宋体" w:hAnsi="宋体"/>
      <w:b/>
      <w:bCs/>
    </w:rPr>
  </w:style>
  <w:style w:type="paragraph" w:styleId="1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5">
    <w:name w:val="Body Text First Indent"/>
    <w:basedOn w:val="6"/>
    <w:next w:val="1"/>
    <w:qFormat/>
    <w:uiPriority w:val="0"/>
    <w:pPr>
      <w:spacing w:after="120"/>
      <w:ind w:firstLine="420" w:firstLineChars="100"/>
    </w:pPr>
    <w:rPr>
      <w:sz w:val="21"/>
    </w:rPr>
  </w:style>
  <w:style w:type="paragraph" w:styleId="16">
    <w:name w:val="Body Text First Indent 2"/>
    <w:basedOn w:val="7"/>
    <w:next w:val="1"/>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sz w:val="24"/>
      <w:szCs w:val="24"/>
    </w:rPr>
  </w:style>
  <w:style w:type="paragraph" w:customStyle="1" w:styleId="21">
    <w:name w:val="Default"/>
    <w:autoRedefine/>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2">
    <w:name w:val="标准文本"/>
    <w:basedOn w:val="1"/>
    <w:qFormat/>
    <w:uiPriority w:val="0"/>
    <w:pPr>
      <w:spacing w:line="400" w:lineRule="exact"/>
      <w:ind w:firstLine="420" w:firstLineChars="200"/>
    </w:pPr>
    <w:rPr>
      <w:rFonts w:ascii="宋体" w:hAnsi="宋体" w:cs="宋体"/>
    </w:rPr>
  </w:style>
  <w:style w:type="paragraph" w:customStyle="1" w:styleId="23">
    <w:name w:val="UserStyle_20"/>
    <w:basedOn w:val="1"/>
    <w:qFormat/>
    <w:uiPriority w:val="0"/>
    <w:pPr>
      <w:widowControl/>
      <w:spacing w:beforeAutospacing="1" w:afterAutospacing="1"/>
      <w:jc w:val="left"/>
      <w:textAlignment w:val="baseline"/>
    </w:pPr>
    <w:rPr>
      <w:rFonts w:cs="黑体"/>
      <w:kern w:val="0"/>
      <w:sz w:val="24"/>
    </w:rPr>
  </w:style>
  <w:style w:type="character" w:customStyle="1" w:styleId="24">
    <w:name w:val="NormalCharacter"/>
    <w:qFormat/>
    <w:uiPriority w:val="99"/>
    <w:rPr>
      <w:rFonts w:ascii="Calibri" w:hAnsi="Calibri" w:eastAsia="宋体"/>
    </w:rPr>
  </w:style>
  <w:style w:type="paragraph" w:customStyle="1" w:styleId="25">
    <w:name w:val="null3"/>
    <w:qFormat/>
    <w:uiPriority w:val="0"/>
    <w:rPr>
      <w:rFonts w:hint="eastAsia" w:ascii="Calibri" w:hAnsi="Calibri" w:eastAsia="宋体" w:cs="Times New Roman"/>
      <w:lang w:val="en-US" w:eastAsia="zh-Hans" w:bidi="ar-SA"/>
    </w:rPr>
  </w:style>
  <w:style w:type="character" w:customStyle="1" w:styleId="26">
    <w:name w:val="font21"/>
    <w:basedOn w:val="19"/>
    <w:uiPriority w:val="0"/>
    <w:rPr>
      <w:rFonts w:hint="eastAsia" w:ascii="宋体" w:hAnsi="宋体" w:eastAsia="宋体" w:cs="宋体"/>
      <w:color w:val="000000"/>
      <w:sz w:val="21"/>
      <w:szCs w:val="21"/>
      <w:u w:val="none"/>
    </w:rPr>
  </w:style>
  <w:style w:type="character" w:customStyle="1" w:styleId="27">
    <w:name w:val="font31"/>
    <w:basedOn w:val="19"/>
    <w:uiPriority w:val="0"/>
    <w:rPr>
      <w:rFonts w:hint="eastAsia" w:ascii="宋体" w:hAnsi="宋体" w:eastAsia="宋体" w:cs="宋体"/>
      <w:color w:val="000000"/>
      <w:sz w:val="21"/>
      <w:szCs w:val="21"/>
      <w:u w:val="none"/>
    </w:rPr>
  </w:style>
  <w:style w:type="character" w:customStyle="1" w:styleId="28">
    <w:name w:val="font61"/>
    <w:basedOn w:val="19"/>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1121</Words>
  <Characters>1196</Characters>
  <Lines>0</Lines>
  <Paragraphs>0</Paragraphs>
  <TotalTime>2</TotalTime>
  <ScaleCrop>false</ScaleCrop>
  <LinksUpToDate>false</LinksUpToDate>
  <CharactersWithSpaces>1202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2023-12-05T09:27:00Z</dcterms:created>
  <dc:creator>eternity.</dc:creator>
  <cp:lastModifiedBy>totoro</cp:lastModifiedBy>
  <cp:lastPrinted>2025-05-16T08:01:00Z</cp:lastPrinted>
  <dcterms:modified xsi:type="dcterms:W3CDTF">2025-11-14T07:18:20Z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833C2C2E0F3047C89A709C314992C650_13</vt:lpwstr>
  </property>
  <property fmtid="{D5CDD505-2E9C-101B-9397-08002B2CF9AE}" pid="4" name="KSOTemplateDocerSaveRecord">
    <vt:lpwstr>eyJoZGlkIjoiYWFhMzU1MDVkZmNiYmQ1NTFlZjJhZDQ5ZDY3ODIxMmMiLCJ1c2VySWQiOiI4NTg3NDIwNTMifQ==</vt:lpwstr>
  </property>
</Properties>
</file>