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center"/>
        <w:rPr>
          <w:rFonts w:hint="eastAsia" w:ascii="方正小标宋_GBK" w:hAnsi="Times New Roman" w:eastAsia="方正小标宋_GBK" w:cs="Times New Roman"/>
          <w:color w:val="000000"/>
          <w:kern w:val="2"/>
          <w:sz w:val="44"/>
          <w:szCs w:val="44"/>
        </w:rPr>
      </w:pPr>
      <w:r>
        <w:rPr>
          <w:rFonts w:hint="eastAsia" w:ascii="方正小标宋_GBK" w:hAnsi="Times New Roman" w:eastAsia="方正小标宋_GBK" w:cs="Times New Roman"/>
          <w:color w:val="000000"/>
          <w:kern w:val="2"/>
          <w:sz w:val="44"/>
          <w:szCs w:val="44"/>
          <w:u w:val="single"/>
          <w:lang w:val="en-US" w:eastAsia="zh-CN" w:bidi="ar"/>
        </w:rPr>
        <w:t xml:space="preserve">      </w:t>
      </w:r>
      <w:r>
        <w:rPr>
          <w:rFonts w:hint="eastAsia" w:ascii="方正小标宋_GBK" w:hAnsi="方正小标宋_GBK" w:eastAsia="方正小标宋_GBK" w:cs="方正小标宋_GBK"/>
          <w:color w:val="000000"/>
          <w:kern w:val="2"/>
          <w:sz w:val="44"/>
          <w:szCs w:val="44"/>
          <w:lang w:val="en-US" w:eastAsia="zh-CN" w:bidi="ar"/>
        </w:rPr>
        <w:t>项目采购方案（服务类）</w:t>
      </w:r>
    </w:p>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一、采购货物一览表</w:t>
      </w:r>
    </w:p>
    <w:tbl>
      <w:tblPr>
        <w:tblStyle w:val="2"/>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57" w:type="dxa"/>
          <w:bottom w:w="0" w:type="dxa"/>
          <w:right w:w="57" w:type="dxa"/>
        </w:tblCellMar>
      </w:tblPr>
      <w:tblGrid>
        <w:gridCol w:w="1129"/>
        <w:gridCol w:w="1134"/>
        <w:gridCol w:w="3402"/>
        <w:gridCol w:w="1559"/>
        <w:gridCol w:w="1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rPr>
          <w:trHeight w:val="567" w:hRule="atLeast"/>
          <w:jc w:val="center"/>
        </w:trPr>
        <w:tc>
          <w:tcPr>
            <w:tcW w:w="112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合同包</w:t>
            </w:r>
          </w:p>
        </w:tc>
        <w:tc>
          <w:tcPr>
            <w:tcW w:w="11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品目号</w:t>
            </w:r>
          </w:p>
        </w:tc>
        <w:tc>
          <w:tcPr>
            <w:tcW w:w="34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采购服务名称</w:t>
            </w:r>
          </w:p>
        </w:tc>
        <w:tc>
          <w:tcPr>
            <w:tcW w:w="155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服务期限</w:t>
            </w:r>
          </w:p>
        </w:tc>
        <w:tc>
          <w:tcPr>
            <w:tcW w:w="164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default" w:ascii="Calibri" w:hAnsi="Calibri" w:eastAsia="仿宋_GB2312" w:cs="Times New Roman"/>
                <w:color w:val="000000"/>
                <w:kern w:val="2"/>
                <w:sz w:val="21"/>
                <w:szCs w:val="21"/>
                <w:bdr w:val="none" w:color="auto" w:sz="0" w:space="0"/>
                <w:lang w:val="en-US" w:eastAsia="zh-CN" w:bidi="ar"/>
              </w:rPr>
              <w:t>1</w:t>
            </w:r>
          </w:p>
        </w:tc>
        <w:tc>
          <w:tcPr>
            <w:tcW w:w="11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default" w:ascii="Calibri" w:hAnsi="Calibri" w:eastAsia="仿宋_GB2312" w:cs="Times New Roman"/>
                <w:color w:val="000000"/>
                <w:kern w:val="2"/>
                <w:sz w:val="21"/>
                <w:szCs w:val="21"/>
                <w:bdr w:val="none" w:color="auto" w:sz="0" w:space="0"/>
                <w:lang w:val="en-US" w:eastAsia="zh-CN" w:bidi="ar"/>
              </w:rPr>
              <w:t>1</w:t>
            </w:r>
          </w:p>
        </w:tc>
        <w:tc>
          <w:tcPr>
            <w:tcW w:w="34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55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64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default" w:ascii="Calibri" w:hAnsi="Calibri" w:eastAsia="仿宋_GB2312" w:cs="Calibri"/>
                <w:color w:val="000000"/>
                <w:kern w:val="2"/>
                <w:sz w:val="21"/>
                <w:szCs w:val="21"/>
                <w:bdr w:val="none" w:color="auto" w:sz="0" w:space="0"/>
                <w:lang w:val="en-US" w:eastAsia="zh-CN" w:bidi="ar"/>
              </w:rPr>
              <w:t>2</w:t>
            </w:r>
          </w:p>
        </w:tc>
        <w:tc>
          <w:tcPr>
            <w:tcW w:w="34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55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64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default" w:ascii="Calibri" w:hAnsi="Calibri" w:eastAsia="仿宋_GB2312" w:cs="Calibri"/>
                <w:color w:val="000000"/>
                <w:kern w:val="2"/>
                <w:sz w:val="21"/>
                <w:szCs w:val="21"/>
                <w:bdr w:val="none" w:color="auto" w:sz="0" w:space="0"/>
                <w:lang w:val="en-US" w:eastAsia="zh-CN" w:bidi="ar"/>
              </w:rPr>
              <w:t>3</w:t>
            </w:r>
          </w:p>
        </w:tc>
        <w:tc>
          <w:tcPr>
            <w:tcW w:w="34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55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64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11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adjustRightInd w:val="0"/>
              <w:spacing w:before="0" w:beforeAutospacing="0" w:after="0" w:afterAutospacing="0"/>
              <w:ind w:left="0" w:right="0"/>
              <w:jc w:val="center"/>
              <w:rPr>
                <w:rFonts w:hint="default" w:ascii="Calibri" w:hAnsi="Calibri" w:eastAsia="仿宋_GB2312" w:cs="Times New Roman"/>
                <w:color w:val="000000"/>
                <w:kern w:val="2"/>
                <w:sz w:val="21"/>
                <w:szCs w:val="21"/>
                <w:bdr w:val="none" w:color="auto" w:sz="0" w:space="0"/>
              </w:rPr>
            </w:pPr>
            <w:r>
              <w:rPr>
                <w:rFonts w:hint="eastAsia" w:ascii="宋体" w:hAnsi="宋体" w:eastAsia="宋体" w:cs="宋体"/>
                <w:color w:val="000000"/>
                <w:kern w:val="0"/>
                <w:sz w:val="24"/>
                <w:szCs w:val="24"/>
                <w:bdr w:val="none" w:color="auto" w:sz="0" w:space="0"/>
                <w:lang w:val="en-US" w:eastAsia="zh-CN" w:bidi="ar"/>
              </w:rPr>
              <w:t>……</w:t>
            </w:r>
          </w:p>
        </w:tc>
        <w:tc>
          <w:tcPr>
            <w:tcW w:w="34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55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64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1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34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55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164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bl>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二、服务内容及相关要求</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三、服务资格要求</w:t>
      </w:r>
      <w:r>
        <w:rPr>
          <w:rFonts w:hint="eastAsia" w:ascii="黑体" w:hAnsi="宋体" w:eastAsia="黑体" w:cs="黑体"/>
          <w:bCs/>
          <w:color w:val="000000"/>
          <w:kern w:val="0"/>
          <w:sz w:val="32"/>
          <w:szCs w:val="32"/>
          <w:lang w:val="en-US" w:eastAsia="zh-CN" w:bidi="ar"/>
        </w:rPr>
        <w:t>（</w:t>
      </w:r>
      <w:r>
        <w:rPr>
          <w:rFonts w:hint="eastAsia" w:ascii="仿宋_GB2312" w:hAnsi="Times New Roman" w:eastAsia="仿宋_GB2312" w:cs="仿宋_GB2312"/>
          <w:color w:val="000000"/>
          <w:kern w:val="0"/>
          <w:sz w:val="32"/>
          <w:szCs w:val="32"/>
          <w:lang w:val="en-US" w:eastAsia="zh-CN" w:bidi="ar"/>
        </w:rPr>
        <w:t>此要求是国家强制准入资格类的要求，若无特殊要求，可删除此条目）</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四、违约责任要求</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五、服务期限和地点</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服务期：……</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服务地点：……</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六、其他要求</w:t>
      </w:r>
      <w:r>
        <w:rPr>
          <w:rFonts w:hint="eastAsia" w:ascii="仿宋_GB2312" w:hAnsi="Times New Roman" w:eastAsia="仿宋_GB2312" w:cs="仿宋_GB2312"/>
          <w:color w:val="000000"/>
          <w:kern w:val="0"/>
          <w:sz w:val="32"/>
          <w:szCs w:val="32"/>
          <w:lang w:val="en-US" w:eastAsia="zh-CN" w:bidi="ar"/>
        </w:rPr>
        <w:t>（如服务安全责任保障等，若无其他要求，可删除此条目）</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七、付款及结算方式要求</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八、履约保证金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中标金额的</w:t>
      </w:r>
      <w:r>
        <w:rPr>
          <w:rFonts w:hint="default" w:ascii="Times New Roman" w:hAnsi="Times New Roman" w:eastAsia="仿宋_GB2312" w:cs="Times New Roman"/>
          <w:color w:val="000000"/>
          <w:kern w:val="2"/>
          <w:sz w:val="32"/>
          <w:szCs w:val="32"/>
          <w:lang w:val="en-US" w:eastAsia="zh-CN" w:bidi="ar"/>
        </w:rPr>
        <w:t>2%</w:t>
      </w:r>
      <w:r>
        <w:rPr>
          <w:rFonts w:hint="eastAsia" w:ascii="仿宋_GB2312" w:hAnsi="Times New Roman" w:eastAsia="仿宋_GB2312" w:cs="仿宋_GB2312"/>
          <w:color w:val="000000"/>
          <w:kern w:val="2"/>
          <w:sz w:val="32"/>
          <w:szCs w:val="32"/>
          <w:lang w:val="en-US" w:eastAsia="zh-CN" w:bidi="ar"/>
        </w:rPr>
        <w:t>，项目验收合格后予以退还。</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说明：中标人在签订合同</w:t>
      </w:r>
      <w:r>
        <w:rPr>
          <w:rFonts w:hint="default" w:ascii="Times New Roman" w:hAnsi="Times New Roman" w:eastAsia="仿宋_GB2312" w:cs="Times New Roman"/>
          <w:color w:val="000000"/>
          <w:kern w:val="2"/>
          <w:sz w:val="32"/>
          <w:szCs w:val="32"/>
          <w:lang w:val="en-US" w:eastAsia="zh-CN" w:bidi="ar"/>
        </w:rPr>
        <w:t>3</w:t>
      </w:r>
      <w:r>
        <w:rPr>
          <w:rFonts w:hint="eastAsia" w:ascii="仿宋_GB2312" w:hAnsi="Times New Roman" w:eastAsia="仿宋_GB2312" w:cs="仿宋_GB2312"/>
          <w:color w:val="000000"/>
          <w:kern w:val="2"/>
          <w:sz w:val="32"/>
          <w:szCs w:val="32"/>
          <w:lang w:val="en-US" w:eastAsia="zh-CN" w:bidi="ar"/>
        </w:rPr>
        <w:t>天前，以对公转账或其他法定形式向采购人缴纳履约保证金。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九、评标办法</w:t>
      </w:r>
      <w:r>
        <w:rPr>
          <w:rFonts w:hint="eastAsia" w:ascii="仿宋_GB2312" w:hAnsi="Times New Roman" w:eastAsia="仿宋_GB2312" w:cs="仿宋_GB2312"/>
          <w:color w:val="000000"/>
          <w:kern w:val="0"/>
          <w:sz w:val="32"/>
          <w:szCs w:val="32"/>
          <w:lang w:val="en-US" w:eastAsia="zh-CN" w:bidi="ar"/>
        </w:rPr>
        <w:t>（请在以下两种评标方法中选其一即可，同时删除另一种评标办法）</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最低评标价法或综合评分法。采用综合评分法的项目须提供综合评分因素和标准。</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注：评标方法释义（提交方案时请删除此段）</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最低评标价法：是指以价格为主要因素确定中标候选供应商的评标办法，即在全部满足招标文件实质性要求前提下，依据统一的价格要素评定最低报价，以提出最低报价的投标人作为中标候选供应商或者中标供应商的评标方法。</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综合评分法：是指在最大限度地满足招标文件实质性要求前提下，按照招标文件中规定的各项因素进行综合评审后，以评标总得分最高的投标人作为中标候选供应商或者中标供应商的评标方法。基本要求：</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）原则上价格因素权重在</w:t>
      </w:r>
      <w:r>
        <w:rPr>
          <w:rFonts w:hint="default" w:ascii="Times New Roman" w:hAnsi="Times New Roman" w:eastAsia="仿宋_GB2312" w:cs="Times New Roman"/>
          <w:color w:val="000000"/>
          <w:kern w:val="0"/>
          <w:sz w:val="32"/>
          <w:szCs w:val="32"/>
          <w:lang w:val="en-US" w:eastAsia="zh-CN" w:bidi="ar"/>
        </w:rPr>
        <w:t>10%</w:t>
      </w:r>
      <w:r>
        <w:rPr>
          <w:rFonts w:hint="eastAsia" w:ascii="仿宋_GB2312" w:hAnsi="Times New Roman" w:eastAsia="仿宋_GB2312" w:cs="仿宋_GB2312"/>
          <w:color w:val="000000"/>
          <w:kern w:val="0"/>
          <w:sz w:val="32"/>
          <w:szCs w:val="32"/>
          <w:lang w:val="en-US" w:eastAsia="zh-CN" w:bidi="ar"/>
        </w:rPr>
        <w:t>至</w:t>
      </w:r>
      <w:r>
        <w:rPr>
          <w:rFonts w:hint="default" w:ascii="Times New Roman" w:hAnsi="Times New Roman" w:eastAsia="仿宋_GB2312" w:cs="Times New Roman"/>
          <w:color w:val="000000"/>
          <w:kern w:val="0"/>
          <w:sz w:val="32"/>
          <w:szCs w:val="32"/>
          <w:lang w:val="en-US" w:eastAsia="zh-CN" w:bidi="ar"/>
        </w:rPr>
        <w:t>30%</w:t>
      </w:r>
      <w:r>
        <w:rPr>
          <w:rFonts w:hint="eastAsia" w:ascii="仿宋_GB2312" w:hAnsi="Times New Roman" w:eastAsia="仿宋_GB2312" w:cs="仿宋_GB2312"/>
          <w:color w:val="000000"/>
          <w:kern w:val="0"/>
          <w:sz w:val="32"/>
          <w:szCs w:val="32"/>
          <w:lang w:val="en-US" w:eastAsia="zh-CN" w:bidi="ar"/>
        </w:rPr>
        <w:t>之间，商务因素权重不得高于</w:t>
      </w:r>
      <w:r>
        <w:rPr>
          <w:rFonts w:hint="default" w:ascii="Times New Roman" w:hAnsi="Times New Roman" w:eastAsia="仿宋_GB2312" w:cs="Times New Roman"/>
          <w:color w:val="000000"/>
          <w:kern w:val="0"/>
          <w:sz w:val="32"/>
          <w:szCs w:val="32"/>
          <w:lang w:val="en-US" w:eastAsia="zh-CN" w:bidi="ar"/>
        </w:rPr>
        <w:t>25%</w:t>
      </w:r>
      <w:r>
        <w:rPr>
          <w:rFonts w:hint="eastAsia" w:ascii="仿宋_GB2312" w:hAnsi="Times New Roman" w:eastAsia="仿宋_GB2312" w:cs="仿宋_GB2312"/>
          <w:color w:val="000000"/>
          <w:kern w:val="0"/>
          <w:sz w:val="32"/>
          <w:szCs w:val="32"/>
          <w:lang w:val="en-US" w:eastAsia="zh-CN" w:bidi="ar"/>
        </w:rPr>
        <w:t>，剩余分值为技术分值，满分</w:t>
      </w:r>
      <w:r>
        <w:rPr>
          <w:rFonts w:hint="default" w:ascii="Times New Roman" w:hAnsi="Times New Roman" w:eastAsia="仿宋_GB2312" w:cs="Times New Roman"/>
          <w:color w:val="000000"/>
          <w:kern w:val="0"/>
          <w:sz w:val="32"/>
          <w:szCs w:val="32"/>
          <w:lang w:val="en-US" w:eastAsia="zh-CN" w:bidi="ar"/>
        </w:rPr>
        <w:t>100</w:t>
      </w:r>
      <w:r>
        <w:rPr>
          <w:rFonts w:hint="eastAsia"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）单项评分项分值不得高于</w:t>
      </w:r>
      <w:r>
        <w:rPr>
          <w:rFonts w:hint="default" w:ascii="Times New Roman" w:hAnsi="Times New Roman" w:eastAsia="仿宋_GB2312" w:cs="Times New Roman"/>
          <w:color w:val="000000"/>
          <w:kern w:val="0"/>
          <w:sz w:val="32"/>
          <w:szCs w:val="32"/>
          <w:lang w:val="en-US" w:eastAsia="zh-CN" w:bidi="ar"/>
        </w:rPr>
        <w:t>3</w:t>
      </w:r>
      <w:r>
        <w:rPr>
          <w:rFonts w:hint="eastAsia"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3</w:t>
      </w:r>
      <w:r>
        <w:rPr>
          <w:rFonts w:hint="eastAsia" w:ascii="仿宋_GB2312" w:hAnsi="Times New Roman" w:eastAsia="仿宋_GB2312" w:cs="仿宋_GB2312"/>
          <w:color w:val="000000"/>
          <w:kern w:val="0"/>
          <w:sz w:val="32"/>
          <w:szCs w:val="32"/>
          <w:lang w:val="en-US" w:eastAsia="zh-CN" w:bidi="ar"/>
        </w:rPr>
        <w:t>）产品演示评分分值总分</w:t>
      </w:r>
      <w:r>
        <w:rPr>
          <w:rFonts w:hint="eastAsia" w:ascii="仿宋_GB2312" w:hAnsi="宋体" w:eastAsia="仿宋_GB2312" w:cs="仿宋_GB2312"/>
          <w:color w:val="000000"/>
          <w:kern w:val="0"/>
          <w:sz w:val="32"/>
          <w:szCs w:val="32"/>
          <w:lang w:val="en-US" w:eastAsia="zh-CN" w:bidi="ar"/>
        </w:rPr>
        <w:t>不得超过</w:t>
      </w:r>
      <w:r>
        <w:rPr>
          <w:rFonts w:hint="eastAsia" w:ascii="仿宋_GB2312" w:hAnsi="Times New Roman" w:eastAsia="仿宋_GB2312" w:cs="仿宋_GB2312"/>
          <w:color w:val="000000"/>
          <w:kern w:val="0"/>
          <w:sz w:val="32"/>
          <w:szCs w:val="32"/>
          <w:lang w:val="en-US" w:eastAsia="zh-CN" w:bidi="ar"/>
        </w:rPr>
        <w:t>技术分值总分的</w:t>
      </w:r>
      <w:r>
        <w:rPr>
          <w:rFonts w:hint="default" w:ascii="Times New Roman" w:hAnsi="Times New Roman" w:eastAsia="仿宋_GB2312" w:cs="Times New Roman"/>
          <w:color w:val="000000"/>
          <w:kern w:val="0"/>
          <w:sz w:val="32"/>
          <w:szCs w:val="32"/>
          <w:lang w:val="en-US" w:eastAsia="zh-CN" w:bidi="ar"/>
        </w:rPr>
        <w:t>20%</w:t>
      </w:r>
      <w:r>
        <w:rPr>
          <w:rFonts w:hint="eastAsia" w:ascii="仿宋_GB2312" w:hAnsi="Times New Roman" w:eastAsia="仿宋_GB2312" w:cs="仿宋_GB2312"/>
          <w:color w:val="000000"/>
          <w:kern w:val="0"/>
          <w:sz w:val="32"/>
          <w:szCs w:val="32"/>
          <w:lang w:val="en-US" w:eastAsia="zh-CN" w:bidi="ar"/>
        </w:rPr>
        <w:t>。演示要求应写明演示某个产品的某项功能或技术参数，且此项功能或技术参数应在货物技术规格参数中列明。演示方式：采用自带设备现场演示或录制视频演示。演示时间：不超过</w:t>
      </w:r>
      <w:r>
        <w:rPr>
          <w:rFonts w:hint="default" w:ascii="Times New Roman" w:hAnsi="Times New Roman" w:eastAsia="仿宋_GB2312" w:cs="Times New Roman"/>
          <w:color w:val="000000"/>
          <w:kern w:val="0"/>
          <w:sz w:val="32"/>
          <w:szCs w:val="32"/>
          <w:lang w:val="en-US" w:eastAsia="zh-CN" w:bidi="ar"/>
        </w:rPr>
        <w:t>15</w:t>
      </w:r>
      <w:r>
        <w:rPr>
          <w:rFonts w:hint="eastAsia" w:ascii="仿宋_GB2312" w:hAnsi="Times New Roman" w:eastAsia="仿宋_GB2312" w:cs="仿宋_GB2312"/>
          <w:color w:val="000000"/>
          <w:kern w:val="0"/>
          <w:sz w:val="32"/>
          <w:szCs w:val="32"/>
          <w:lang w:val="en-US" w:eastAsia="zh-CN" w:bidi="ar"/>
        </w:rPr>
        <w:t>分钟。产品演示非必须评分项，请根据实际需求设置产品演示评分条款。</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4</w:t>
      </w:r>
      <w:r>
        <w:rPr>
          <w:rFonts w:hint="eastAsia" w:ascii="仿宋_GB2312" w:hAnsi="Times New Roman" w:eastAsia="仿宋_GB2312" w:cs="仿宋_GB2312"/>
          <w:color w:val="000000"/>
          <w:kern w:val="0"/>
          <w:sz w:val="32"/>
          <w:szCs w:val="32"/>
          <w:lang w:val="en-US" w:eastAsia="zh-CN" w:bidi="ar"/>
        </w:rPr>
        <w:t>）所有非国家强制类证书分值不得大于</w:t>
      </w: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0"/>
          <w:sz w:val="32"/>
          <w:szCs w:val="32"/>
          <w:lang w:val="en-US" w:eastAsia="zh-CN" w:bidi="ar"/>
        </w:rPr>
        <w:t>综合评分参考样式：（注：以下评分分值、内容仅供参考，请据实采纳、调整、删除，切勿照搬。</w:t>
      </w:r>
      <w:r>
        <w:rPr>
          <w:rFonts w:hint="eastAsia" w:ascii="仿宋_GB2312" w:hAnsi="Times New Roman" w:eastAsia="仿宋_GB2312" w:cs="仿宋_GB2312"/>
          <w:color w:val="000000"/>
          <w:kern w:val="2"/>
          <w:sz w:val="32"/>
          <w:szCs w:val="32"/>
          <w:lang w:val="en-US" w:eastAsia="zh-CN" w:bidi="ar"/>
        </w:rPr>
        <w:t>具体设置不得违背最新政府采购负面清单）</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技术部分（</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分）</w:t>
      </w:r>
    </w:p>
    <w:tbl>
      <w:tblPr>
        <w:tblStyle w:val="2"/>
        <w:tblW w:w="4937" w:type="pct"/>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57" w:type="dxa"/>
          <w:bottom w:w="0" w:type="dxa"/>
          <w:right w:w="57" w:type="dxa"/>
        </w:tblCellMar>
      </w:tblPr>
      <w:tblGrid>
        <w:gridCol w:w="1272"/>
        <w:gridCol w:w="1069"/>
        <w:gridCol w:w="5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rPr>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
                <w:bCs/>
                <w:color w:val="000000"/>
                <w:kern w:val="2"/>
                <w:sz w:val="21"/>
                <w:szCs w:val="21"/>
                <w:bdr w:val="none" w:color="auto" w:sz="0" w:space="0"/>
              </w:rPr>
            </w:pPr>
            <w:r>
              <w:rPr>
                <w:rFonts w:hint="eastAsia" w:ascii="仿宋_GB2312" w:hAnsi="Calibri" w:eastAsia="仿宋_GB2312" w:cs="仿宋_GB2312"/>
                <w:b/>
                <w:bCs/>
                <w:color w:val="000000"/>
                <w:kern w:val="2"/>
                <w:sz w:val="21"/>
                <w:szCs w:val="21"/>
                <w:bdr w:val="none" w:color="auto" w:sz="0" w:space="0"/>
                <w:lang w:val="en-US" w:eastAsia="zh-CN" w:bidi="ar"/>
              </w:rPr>
              <w:t>评标项目</w:t>
            </w:r>
          </w:p>
        </w:tc>
        <w:tc>
          <w:tcPr>
            <w:tcW w:w="643"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
                <w:bCs/>
                <w:color w:val="000000"/>
                <w:kern w:val="2"/>
                <w:sz w:val="21"/>
                <w:szCs w:val="21"/>
                <w:bdr w:val="none" w:color="auto" w:sz="0" w:space="0"/>
              </w:rPr>
            </w:pPr>
            <w:r>
              <w:rPr>
                <w:rFonts w:hint="eastAsia" w:ascii="仿宋_GB2312" w:hAnsi="Calibri" w:eastAsia="仿宋_GB2312" w:cs="仿宋_GB2312"/>
                <w:b/>
                <w:bCs/>
                <w:color w:val="000000"/>
                <w:kern w:val="2"/>
                <w:sz w:val="21"/>
                <w:szCs w:val="21"/>
                <w:bdr w:val="none" w:color="auto" w:sz="0" w:space="0"/>
                <w:lang w:val="en-US" w:eastAsia="zh-CN" w:bidi="ar"/>
              </w:rPr>
              <w:t>评标分值</w:t>
            </w:r>
          </w:p>
        </w:tc>
        <w:tc>
          <w:tcPr>
            <w:tcW w:w="359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
                <w:bCs/>
                <w:color w:val="000000"/>
                <w:kern w:val="2"/>
                <w:sz w:val="21"/>
                <w:szCs w:val="21"/>
                <w:bdr w:val="none" w:color="auto" w:sz="0" w:space="0"/>
              </w:rPr>
            </w:pPr>
            <w:r>
              <w:rPr>
                <w:rFonts w:hint="eastAsia" w:ascii="仿宋_GB2312" w:hAnsi="Calibri" w:eastAsia="仿宋_GB2312" w:cs="仿宋_GB2312"/>
                <w:b/>
                <w:bCs/>
                <w:color w:val="000000"/>
                <w:kern w:val="2"/>
                <w:sz w:val="21"/>
                <w:szCs w:val="21"/>
                <w:bdr w:val="none" w:color="auto" w:sz="0" w:space="0"/>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服务内容</w:t>
            </w:r>
          </w:p>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响应情况</w:t>
            </w:r>
          </w:p>
        </w:tc>
        <w:tc>
          <w:tcPr>
            <w:tcW w:w="643"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default" w:ascii="Calibri" w:hAnsi="Calibri" w:eastAsia="仿宋_GB2312" w:cs="Times New Roman"/>
                <w:bCs/>
                <w:color w:val="000000"/>
                <w:kern w:val="2"/>
                <w:sz w:val="21"/>
                <w:szCs w:val="21"/>
                <w:bdr w:val="none" w:color="auto" w:sz="0" w:space="0"/>
                <w:lang w:val="en-US" w:eastAsia="zh-CN" w:bidi="ar"/>
              </w:rPr>
              <w:t>40</w:t>
            </w:r>
            <w:r>
              <w:rPr>
                <w:rFonts w:hint="eastAsia" w:ascii="仿宋_GB2312" w:hAnsi="Calibri" w:eastAsia="仿宋_GB2312" w:cs="仿宋_GB2312"/>
                <w:bCs/>
                <w:color w:val="000000"/>
                <w:kern w:val="2"/>
                <w:sz w:val="21"/>
                <w:szCs w:val="21"/>
                <w:bdr w:val="none" w:color="auto" w:sz="0" w:space="0"/>
                <w:lang w:val="en-US" w:eastAsia="zh-CN" w:bidi="ar"/>
              </w:rPr>
              <w:t>（单项</w:t>
            </w:r>
          </w:p>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分值不</w:t>
            </w:r>
          </w:p>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高于</w:t>
            </w:r>
            <w:r>
              <w:rPr>
                <w:rFonts w:hint="default" w:ascii="Calibri" w:hAnsi="Calibri" w:eastAsia="仿宋_GB2312" w:cs="Times New Roman"/>
                <w:bCs/>
                <w:color w:val="000000"/>
                <w:kern w:val="2"/>
                <w:sz w:val="21"/>
                <w:szCs w:val="21"/>
                <w:bdr w:val="none" w:color="auto" w:sz="0" w:space="0"/>
                <w:lang w:val="en-US" w:eastAsia="zh-CN" w:bidi="ar"/>
              </w:rPr>
              <w:t>3</w:t>
            </w:r>
            <w:r>
              <w:rPr>
                <w:rFonts w:hint="eastAsia" w:ascii="仿宋_GB2312" w:hAnsi="Calibri" w:eastAsia="仿宋_GB2312" w:cs="仿宋_GB2312"/>
                <w:bCs/>
                <w:color w:val="000000"/>
                <w:kern w:val="2"/>
                <w:sz w:val="21"/>
                <w:szCs w:val="21"/>
                <w:bdr w:val="none" w:color="auto" w:sz="0" w:space="0"/>
                <w:lang w:val="en-US" w:eastAsia="zh-CN" w:bidi="ar"/>
              </w:rPr>
              <w:t>分）</w:t>
            </w:r>
          </w:p>
        </w:tc>
        <w:tc>
          <w:tcPr>
            <w:tcW w:w="359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根据各投标人对招标文件技术和服务要求的逐项响应承诺等方面情况进行评分，投标人全部满足招标文件要求的得</w:t>
            </w:r>
            <w:r>
              <w:rPr>
                <w:rFonts w:hint="default" w:ascii="Calibri" w:hAnsi="Calibri" w:eastAsia="仿宋_GB2312" w:cs="Times New Roman"/>
                <w:bCs/>
                <w:color w:val="000000"/>
                <w:kern w:val="2"/>
                <w:sz w:val="21"/>
                <w:szCs w:val="21"/>
                <w:bdr w:val="none" w:color="auto" w:sz="0" w:space="0"/>
                <w:lang w:val="en-US" w:eastAsia="zh-CN" w:bidi="ar"/>
              </w:rPr>
              <w:t>40</w:t>
            </w:r>
            <w:r>
              <w:rPr>
                <w:rFonts w:hint="eastAsia" w:ascii="仿宋_GB2312" w:hAnsi="Calibri" w:eastAsia="仿宋_GB2312" w:cs="仿宋_GB2312"/>
                <w:bCs/>
                <w:color w:val="000000"/>
                <w:kern w:val="2"/>
                <w:sz w:val="21"/>
                <w:szCs w:val="21"/>
                <w:bdr w:val="none" w:color="auto" w:sz="0" w:space="0"/>
                <w:lang w:val="en-US" w:eastAsia="zh-CN" w:bidi="ar"/>
              </w:rPr>
              <w:t>分。（此项分值应按前文技术参数逐条量化后计算总分值，如前文技术参数共计</w:t>
            </w:r>
            <w:r>
              <w:rPr>
                <w:rFonts w:hint="default" w:ascii="Calibri" w:hAnsi="Calibri" w:eastAsia="仿宋_GB2312" w:cs="Calibri"/>
                <w:bCs/>
                <w:color w:val="000000"/>
                <w:kern w:val="2"/>
                <w:sz w:val="21"/>
                <w:szCs w:val="21"/>
                <w:bdr w:val="none" w:color="auto" w:sz="0" w:space="0"/>
                <w:lang w:val="en-US" w:eastAsia="zh-CN" w:bidi="ar"/>
              </w:rPr>
              <w:t>30</w:t>
            </w:r>
            <w:r>
              <w:rPr>
                <w:rFonts w:hint="eastAsia" w:ascii="仿宋_GB2312" w:hAnsi="Calibri" w:eastAsia="仿宋_GB2312" w:cs="仿宋_GB2312"/>
                <w:bCs/>
                <w:color w:val="000000"/>
                <w:kern w:val="2"/>
                <w:sz w:val="21"/>
                <w:szCs w:val="21"/>
                <w:bdr w:val="none" w:color="auto" w:sz="0" w:space="0"/>
                <w:lang w:val="en-US" w:eastAsia="zh-CN" w:bidi="ar"/>
              </w:rPr>
              <w:t>项，每项</w:t>
            </w:r>
            <w:r>
              <w:rPr>
                <w:rFonts w:hint="default" w:ascii="Calibri" w:hAnsi="Calibri" w:eastAsia="仿宋_GB2312" w:cs="Calibri"/>
                <w:bCs/>
                <w:color w:val="000000"/>
                <w:kern w:val="2"/>
                <w:sz w:val="21"/>
                <w:szCs w:val="21"/>
                <w:bdr w:val="none" w:color="auto" w:sz="0" w:space="0"/>
                <w:lang w:val="en-US" w:eastAsia="zh-CN" w:bidi="ar"/>
              </w:rPr>
              <w:t>1.5</w:t>
            </w:r>
            <w:r>
              <w:rPr>
                <w:rFonts w:hint="eastAsia" w:ascii="仿宋_GB2312" w:hAnsi="Calibri" w:eastAsia="仿宋_GB2312" w:cs="仿宋_GB2312"/>
                <w:bCs/>
                <w:color w:val="000000"/>
                <w:kern w:val="2"/>
                <w:sz w:val="21"/>
                <w:szCs w:val="21"/>
                <w:bdr w:val="none" w:color="auto" w:sz="0" w:space="0"/>
                <w:lang w:val="en-US" w:eastAsia="zh-CN" w:bidi="ar"/>
              </w:rPr>
              <w:t>分，总分即</w:t>
            </w:r>
            <w:r>
              <w:rPr>
                <w:rFonts w:hint="default" w:ascii="Calibri" w:hAnsi="Calibri" w:eastAsia="仿宋_GB2312" w:cs="Calibri"/>
                <w:bCs/>
                <w:color w:val="000000"/>
                <w:kern w:val="2"/>
                <w:sz w:val="21"/>
                <w:szCs w:val="21"/>
                <w:bdr w:val="none" w:color="auto" w:sz="0" w:space="0"/>
                <w:lang w:val="en-US" w:eastAsia="zh-CN" w:bidi="ar"/>
              </w:rPr>
              <w:t>45</w:t>
            </w:r>
            <w:r>
              <w:rPr>
                <w:rFonts w:hint="eastAsia" w:ascii="仿宋_GB2312" w:hAnsi="Calibri" w:eastAsia="仿宋_GB2312" w:cs="仿宋_GB2312"/>
                <w:bCs/>
                <w:color w:val="000000"/>
                <w:kern w:val="2"/>
                <w:sz w:val="21"/>
                <w:szCs w:val="21"/>
                <w:bdr w:val="none" w:color="auto" w:sz="0" w:space="0"/>
                <w:lang w:val="en-US" w:eastAsia="zh-CN" w:bidi="ar"/>
              </w:rPr>
              <w:t>分）</w:t>
            </w:r>
          </w:p>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例</w:t>
            </w:r>
            <w:r>
              <w:rPr>
                <w:rFonts w:hint="default" w:ascii="Calibri" w:hAnsi="Calibri" w:eastAsia="仿宋_GB2312" w:cs="Times New Roman"/>
                <w:bCs/>
                <w:color w:val="000000"/>
                <w:kern w:val="2"/>
                <w:sz w:val="21"/>
                <w:szCs w:val="21"/>
                <w:bdr w:val="none" w:color="auto" w:sz="0" w:space="0"/>
                <w:lang w:val="en-US" w:eastAsia="zh-CN" w:bidi="ar"/>
              </w:rPr>
              <w:t>1</w:t>
            </w:r>
            <w:r>
              <w:rPr>
                <w:rFonts w:hint="eastAsia" w:ascii="仿宋_GB2312" w:hAnsi="Calibri" w:eastAsia="仿宋_GB2312" w:cs="仿宋_GB2312"/>
                <w:bCs/>
                <w:color w:val="000000"/>
                <w:kern w:val="2"/>
                <w:sz w:val="21"/>
                <w:szCs w:val="21"/>
                <w:bdr w:val="none" w:color="auto" w:sz="0" w:space="0"/>
                <w:lang w:val="en-US" w:eastAsia="zh-CN" w:bidi="ar"/>
              </w:rPr>
              <w:t>：标注</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宋体" w:hAnsi="宋体" w:eastAsia="宋体" w:cs="宋体"/>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号的技术参数（</w:t>
            </w:r>
            <w:r>
              <w:rPr>
                <w:rFonts w:hint="default" w:ascii="Calibri" w:hAnsi="Calibri" w:eastAsia="仿宋_GB2312" w:cs="Times New Roman"/>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项），每负偏离一项扣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分；未带</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宋体" w:hAnsi="宋体" w:eastAsia="宋体" w:cs="宋体"/>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号的技术参数（</w:t>
            </w:r>
            <w:r>
              <w:rPr>
                <w:rFonts w:hint="default" w:ascii="Calibri" w:hAnsi="Calibri" w:eastAsia="仿宋_GB2312" w:cs="Times New Roman"/>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项），以每项服务为一个评分项，一项服务出现负偏离即扣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分。或者以几条服务内容作为一个项号（共</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项），每个项号出现负偏离即扣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分。或者所有服务内容（共计</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条）每负偏离一条扣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分。或者序号</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、序号</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等服务内容以每项服务内容为一个评分项，一项服务内容出现负偏离即扣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分（分值相对高），其余序号服务内容以每项服务内容为一个评分项，一项服务内容出现负偏离即扣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分（分值相对低）。</w:t>
            </w:r>
          </w:p>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例</w:t>
            </w:r>
            <w:r>
              <w:rPr>
                <w:rFonts w:hint="default" w:ascii="Calibri" w:hAnsi="Calibri" w:eastAsia="仿宋_GB2312" w:cs="Times New Roman"/>
                <w:bCs/>
                <w:color w:val="000000"/>
                <w:kern w:val="2"/>
                <w:sz w:val="21"/>
                <w:szCs w:val="21"/>
                <w:bdr w:val="none" w:color="auto" w:sz="0" w:space="0"/>
                <w:lang w:val="en-US" w:eastAsia="zh-CN" w:bidi="ar"/>
              </w:rPr>
              <w:t>2</w:t>
            </w:r>
            <w:r>
              <w:rPr>
                <w:rFonts w:hint="eastAsia" w:ascii="仿宋_GB2312" w:hAnsi="Calibri" w:eastAsia="仿宋_GB2312" w:cs="仿宋_GB2312"/>
                <w:bCs/>
                <w:color w:val="000000"/>
                <w:kern w:val="2"/>
                <w:sz w:val="21"/>
                <w:szCs w:val="21"/>
                <w:bdr w:val="none" w:color="auto" w:sz="0" w:space="0"/>
                <w:lang w:val="en-US" w:eastAsia="zh-CN" w:bidi="ar"/>
              </w:rPr>
              <w:t>：技术参数每负偏离一项扣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w:t>
            </w:r>
          </w:p>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例</w:t>
            </w:r>
            <w:r>
              <w:rPr>
                <w:rFonts w:hint="default" w:ascii="Calibri" w:hAnsi="Calibri" w:eastAsia="仿宋_GB2312" w:cs="Times New Roman"/>
                <w:bCs/>
                <w:color w:val="000000"/>
                <w:kern w:val="2"/>
                <w:sz w:val="21"/>
                <w:szCs w:val="21"/>
                <w:bdr w:val="none" w:color="auto" w:sz="0" w:space="0"/>
                <w:lang w:val="en-US" w:eastAsia="zh-CN" w:bidi="ar"/>
              </w:rPr>
              <w:t>3</w:t>
            </w:r>
            <w:r>
              <w:rPr>
                <w:rFonts w:hint="eastAsia" w:ascii="仿宋_GB2312" w:hAnsi="Calibri" w:eastAsia="仿宋_GB2312" w:cs="仿宋_GB2312"/>
                <w:bCs/>
                <w:color w:val="000000"/>
                <w:kern w:val="2"/>
                <w:sz w:val="21"/>
                <w:szCs w:val="21"/>
                <w:bdr w:val="none" w:color="auto" w:sz="0" w:space="0"/>
                <w:lang w:val="en-US" w:eastAsia="zh-CN" w:bidi="ar"/>
              </w:rPr>
              <w:t>：标注</w:t>
            </w:r>
            <w:r>
              <w:rPr>
                <w:rFonts w:hint="default" w:ascii="Calibri" w:hAnsi="Calibri" w:eastAsia="仿宋_GB2312" w:cs="Calibri"/>
                <w:bCs/>
                <w:color w:val="000000"/>
                <w:kern w:val="2"/>
                <w:sz w:val="21"/>
                <w:szCs w:val="21"/>
                <w:bdr w:val="none" w:color="auto" w:sz="0" w:space="0"/>
                <w:lang w:val="en-US" w:eastAsia="zh-CN" w:bidi="ar"/>
              </w:rPr>
              <w:t>“</w:t>
            </w:r>
            <w:r>
              <w:rPr>
                <w:rFonts w:hint="default" w:ascii="Segoe UI Symbol" w:hAnsi="Segoe UI Symbol" w:eastAsia="Segoe UI Symbol" w:cs="Segoe UI Symbol"/>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号的技术参数为重要指标，不允许负偏离，否则视为无效投标。未标注</w:t>
            </w:r>
            <w:r>
              <w:rPr>
                <w:rFonts w:hint="default" w:ascii="Calibri" w:hAnsi="Calibri" w:eastAsia="仿宋_GB2312" w:cs="Calibri"/>
                <w:bCs/>
                <w:color w:val="000000"/>
                <w:kern w:val="2"/>
                <w:sz w:val="21"/>
                <w:szCs w:val="21"/>
                <w:bdr w:val="none" w:color="auto" w:sz="0" w:space="0"/>
                <w:lang w:val="en-US" w:eastAsia="zh-CN" w:bidi="ar"/>
              </w:rPr>
              <w:t>“</w:t>
            </w:r>
            <w:r>
              <w:rPr>
                <w:rFonts w:hint="default" w:ascii="Segoe UI Symbol" w:hAnsi="Segoe UI Symbol" w:eastAsia="Segoe UI Symbol" w:cs="Segoe UI Symbol"/>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号的技术参数每负偏离一项扣</w:t>
            </w:r>
            <w:r>
              <w:rPr>
                <w:rFonts w:hint="default" w:ascii="Calibri" w:hAnsi="Calibri" w:eastAsia="仿宋_GB2312" w:cs="Times New Roman"/>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w:t>
            </w:r>
          </w:p>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例</w:t>
            </w:r>
            <w:r>
              <w:rPr>
                <w:rFonts w:hint="default" w:ascii="Calibri" w:hAnsi="Calibri" w:eastAsia="仿宋_GB2312" w:cs="Times New Roman"/>
                <w:bCs/>
                <w:color w:val="000000"/>
                <w:kern w:val="2"/>
                <w:sz w:val="21"/>
                <w:szCs w:val="21"/>
                <w:bdr w:val="none" w:color="auto" w:sz="0" w:space="0"/>
                <w:lang w:val="en-US" w:eastAsia="zh-CN" w:bidi="ar"/>
              </w:rPr>
              <w:t>4</w:t>
            </w:r>
            <w:r>
              <w:rPr>
                <w:rFonts w:hint="eastAsia" w:ascii="仿宋_GB2312" w:hAnsi="Calibri" w:eastAsia="仿宋_GB2312" w:cs="仿宋_GB2312"/>
                <w:bCs/>
                <w:color w:val="000000"/>
                <w:kern w:val="2"/>
                <w:sz w:val="21"/>
                <w:szCs w:val="21"/>
                <w:bdr w:val="none" w:color="auto" w:sz="0" w:space="0"/>
                <w:lang w:val="en-US" w:eastAsia="zh-CN" w:bidi="ar"/>
              </w:rPr>
              <w:t>：标注</w:t>
            </w:r>
            <w:r>
              <w:rPr>
                <w:rFonts w:hint="default" w:ascii="Calibri" w:hAnsi="Calibri" w:eastAsia="仿宋_GB2312" w:cs="Calibri"/>
                <w:bCs/>
                <w:color w:val="000000"/>
                <w:kern w:val="2"/>
                <w:sz w:val="21"/>
                <w:szCs w:val="21"/>
                <w:bdr w:val="none" w:color="auto" w:sz="0" w:space="0"/>
                <w:lang w:val="en-US" w:eastAsia="zh-CN" w:bidi="ar"/>
              </w:rPr>
              <w:t>“</w:t>
            </w:r>
            <w:r>
              <w:rPr>
                <w:rFonts w:hint="default" w:ascii="Segoe UI Symbol" w:hAnsi="Segoe UI Symbol" w:eastAsia="Segoe UI Symbol" w:cs="Segoe UI Symbol"/>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号的技术参数为重要指标（</w:t>
            </w:r>
            <w:r>
              <w:rPr>
                <w:rFonts w:hint="default" w:ascii="Calibri" w:hAnsi="Calibri" w:eastAsia="仿宋_GB2312" w:cs="Times New Roman"/>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项），不允许负偏离，否则视为无效投标。标注</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宋体" w:hAnsi="宋体" w:eastAsia="宋体" w:cs="宋体"/>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号的技术参数（</w:t>
            </w:r>
            <w:r>
              <w:rPr>
                <w:rFonts w:hint="default" w:ascii="Calibri" w:hAnsi="Calibri" w:eastAsia="仿宋_GB2312" w:cs="Times New Roman"/>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项），每负偏离一项扣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分；未带</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宋体" w:hAnsi="宋体" w:eastAsia="宋体" w:cs="宋体"/>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default" w:ascii="Segoe UI Symbol" w:hAnsi="Segoe UI Symbol" w:eastAsia="Segoe UI Symbol" w:cs="Segoe UI Symbol"/>
                <w:bCs/>
                <w:color w:val="000000"/>
                <w:kern w:val="2"/>
                <w:sz w:val="21"/>
                <w:szCs w:val="21"/>
                <w:bdr w:val="none" w:color="auto" w:sz="0" w:space="0"/>
                <w:lang w:val="en-US" w:eastAsia="zh-CN" w:bidi="ar"/>
              </w:rPr>
              <w:t>★</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号的技术参数（</w:t>
            </w:r>
            <w:r>
              <w:rPr>
                <w:rFonts w:hint="default" w:ascii="Calibri" w:hAnsi="Calibri" w:eastAsia="仿宋_GB2312" w:cs="Times New Roman"/>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项）每负偏离一项扣</w:t>
            </w:r>
            <w:r>
              <w:rPr>
                <w:rFonts w:hint="default" w:ascii="Calibri" w:hAnsi="Calibri" w:eastAsia="仿宋_GB2312" w:cs="Calibri"/>
                <w:bCs/>
                <w:color w:val="000000"/>
                <w:kern w:val="2"/>
                <w:sz w:val="21"/>
                <w:szCs w:val="21"/>
                <w:bdr w:val="none" w:color="auto" w:sz="0" w:space="0"/>
                <w:lang w:val="en-US" w:eastAsia="zh-CN" w:bidi="ar"/>
              </w:rPr>
              <w:t>XX</w:t>
            </w:r>
            <w:r>
              <w:rPr>
                <w:rFonts w:hint="eastAsia" w:ascii="仿宋_GB2312" w:hAnsi="Calibri" w:eastAsia="仿宋_GB2312" w:cs="仿宋_GB2312"/>
                <w:bCs/>
                <w:color w:val="000000"/>
                <w:kern w:val="2"/>
                <w:sz w:val="21"/>
                <w:szCs w:val="21"/>
                <w:bdr w:val="none" w:color="auto" w:sz="0" w:space="0"/>
                <w:lang w:val="en-US" w:eastAsia="zh-CN"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演示要求</w:t>
            </w:r>
          </w:p>
        </w:tc>
        <w:tc>
          <w:tcPr>
            <w:tcW w:w="643"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default" w:ascii="Calibri" w:hAnsi="Calibri" w:eastAsia="仿宋_GB2312" w:cs="Times New Roman"/>
                <w:bCs/>
                <w:color w:val="000000"/>
                <w:kern w:val="2"/>
                <w:sz w:val="21"/>
                <w:szCs w:val="21"/>
                <w:bdr w:val="none" w:color="auto" w:sz="0" w:space="0"/>
                <w:lang w:val="en-US" w:eastAsia="zh-CN" w:bidi="ar"/>
              </w:rPr>
              <w:t>3</w:t>
            </w:r>
          </w:p>
        </w:tc>
        <w:tc>
          <w:tcPr>
            <w:tcW w:w="359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演示内容：应列明演示</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品目号</w:t>
            </w:r>
            <w:r>
              <w:rPr>
                <w:rFonts w:hint="default" w:ascii="Calibri" w:hAnsi="Calibri" w:eastAsia="仿宋_GB2312" w:cs="Calibri"/>
                <w:bCs/>
                <w:color w:val="000000"/>
                <w:kern w:val="2"/>
                <w:sz w:val="21"/>
                <w:szCs w:val="21"/>
                <w:bdr w:val="none" w:color="auto" w:sz="0" w:space="0"/>
                <w:lang w:val="en-US" w:eastAsia="zh-CN" w:bidi="ar"/>
              </w:rPr>
              <w:t>1-X</w:t>
            </w:r>
            <w:r>
              <w:rPr>
                <w:rFonts w:hint="eastAsia" w:ascii="仿宋_GB2312" w:hAnsi="Calibri" w:eastAsia="仿宋_GB2312" w:cs="仿宋_GB2312"/>
                <w:bCs/>
                <w:color w:val="000000"/>
                <w:kern w:val="2"/>
                <w:sz w:val="21"/>
                <w:szCs w:val="21"/>
                <w:bdr w:val="none" w:color="auto" w:sz="0" w:space="0"/>
                <w:lang w:val="en-US" w:eastAsia="zh-CN" w:bidi="ar"/>
              </w:rPr>
              <w:t>产品名称</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的具体某一条参数条款（此参数条款应在</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服务内容及相关要求</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中已作出要求），量化演示</w:t>
            </w:r>
            <w:r>
              <w:rPr>
                <w:rFonts w:hint="eastAsia" w:ascii="仿宋_GB2312" w:hAnsi="Calibri" w:eastAsia="仿宋_GB2312" w:cs="仿宋_GB2312"/>
                <w:bCs/>
                <w:color w:val="000000"/>
                <w:spacing w:val="-6"/>
                <w:kern w:val="2"/>
                <w:sz w:val="21"/>
                <w:szCs w:val="21"/>
                <w:bdr w:val="none" w:color="auto" w:sz="0" w:space="0"/>
                <w:lang w:val="en-US" w:eastAsia="zh-CN" w:bidi="ar"/>
              </w:rPr>
              <w:t>内容评分依据（如从演示完成度量化分值、从视频呈现效果量化分值等）。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rPr>
          <w:trHeight w:val="454" w:hRule="atLeast"/>
        </w:trPr>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c>
          <w:tcPr>
            <w:tcW w:w="643"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c>
          <w:tcPr>
            <w:tcW w:w="359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r>
    </w:tbl>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商务部分（</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分）</w:t>
      </w:r>
    </w:p>
    <w:tbl>
      <w:tblPr>
        <w:tblStyle w:val="2"/>
        <w:tblW w:w="49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57" w:type="dxa"/>
          <w:bottom w:w="0" w:type="dxa"/>
          <w:right w:w="57" w:type="dxa"/>
        </w:tblCellMar>
      </w:tblPr>
      <w:tblGrid>
        <w:gridCol w:w="1270"/>
        <w:gridCol w:w="1048"/>
        <w:gridCol w:w="5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rPr>
          <w:trHeight w:val="454" w:hRule="atLeast"/>
          <w:jc w:val="center"/>
        </w:trPr>
        <w:tc>
          <w:tcPr>
            <w:tcW w:w="764"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
                <w:bCs/>
                <w:color w:val="000000"/>
                <w:kern w:val="2"/>
                <w:sz w:val="21"/>
                <w:szCs w:val="21"/>
                <w:bdr w:val="none" w:color="auto" w:sz="0" w:space="0"/>
              </w:rPr>
            </w:pPr>
            <w:r>
              <w:rPr>
                <w:rFonts w:hint="eastAsia" w:ascii="仿宋_GB2312" w:hAnsi="Calibri" w:eastAsia="仿宋_GB2312" w:cs="仿宋_GB2312"/>
                <w:b/>
                <w:bCs/>
                <w:color w:val="000000"/>
                <w:kern w:val="2"/>
                <w:sz w:val="21"/>
                <w:szCs w:val="21"/>
                <w:bdr w:val="none" w:color="auto" w:sz="0" w:space="0"/>
                <w:lang w:val="en-US" w:eastAsia="zh-CN" w:bidi="ar"/>
              </w:rPr>
              <w:t>评标项目</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
                <w:bCs/>
                <w:color w:val="000000"/>
                <w:kern w:val="2"/>
                <w:sz w:val="21"/>
                <w:szCs w:val="21"/>
                <w:bdr w:val="none" w:color="auto" w:sz="0" w:space="0"/>
              </w:rPr>
            </w:pPr>
            <w:r>
              <w:rPr>
                <w:rFonts w:hint="eastAsia" w:ascii="仿宋_GB2312" w:hAnsi="Calibri" w:eastAsia="仿宋_GB2312" w:cs="仿宋_GB2312"/>
                <w:b/>
                <w:bCs/>
                <w:color w:val="000000"/>
                <w:kern w:val="2"/>
                <w:sz w:val="21"/>
                <w:szCs w:val="21"/>
                <w:bdr w:val="none" w:color="auto" w:sz="0" w:space="0"/>
                <w:lang w:val="en-US" w:eastAsia="zh-CN" w:bidi="ar"/>
              </w:rPr>
              <w:t>评标分值</w:t>
            </w:r>
          </w:p>
        </w:tc>
        <w:tc>
          <w:tcPr>
            <w:tcW w:w="360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
                <w:bCs/>
                <w:color w:val="000000"/>
                <w:kern w:val="2"/>
                <w:sz w:val="21"/>
                <w:szCs w:val="21"/>
                <w:bdr w:val="none" w:color="auto" w:sz="0" w:space="0"/>
              </w:rPr>
            </w:pPr>
            <w:r>
              <w:rPr>
                <w:rFonts w:hint="eastAsia" w:ascii="仿宋_GB2312" w:hAnsi="Calibri" w:eastAsia="仿宋_GB2312" w:cs="仿宋_GB2312"/>
                <w:b/>
                <w:bCs/>
                <w:color w:val="000000"/>
                <w:kern w:val="2"/>
                <w:sz w:val="21"/>
                <w:szCs w:val="21"/>
                <w:bdr w:val="none" w:color="auto" w:sz="0" w:space="0"/>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rPr>
          <w:jc w:val="center"/>
        </w:trPr>
        <w:tc>
          <w:tcPr>
            <w:tcW w:w="764"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业绩</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default" w:ascii="Calibri" w:hAnsi="Calibri" w:eastAsia="仿宋_GB2312" w:cs="Calibri"/>
                <w:bCs/>
                <w:color w:val="000000"/>
                <w:kern w:val="2"/>
                <w:sz w:val="21"/>
                <w:szCs w:val="21"/>
                <w:bdr w:val="none" w:color="auto" w:sz="0" w:space="0"/>
                <w:lang w:val="en-US" w:eastAsia="zh-CN" w:bidi="ar"/>
              </w:rPr>
              <w:t>3</w:t>
            </w:r>
          </w:p>
        </w:tc>
        <w:tc>
          <w:tcPr>
            <w:tcW w:w="360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根据投标人提供的自</w:t>
            </w:r>
            <w:r>
              <w:rPr>
                <w:rFonts w:hint="default" w:ascii="Calibri" w:hAnsi="Calibri" w:eastAsia="仿宋_GB2312" w:cs="Calibri"/>
                <w:bCs/>
                <w:color w:val="000000"/>
                <w:kern w:val="2"/>
                <w:sz w:val="21"/>
                <w:szCs w:val="21"/>
                <w:bdr w:val="none" w:color="auto" w:sz="0" w:space="0"/>
                <w:lang w:val="en-US" w:eastAsia="zh-CN" w:bidi="ar"/>
              </w:rPr>
              <w:t>20XX</w:t>
            </w:r>
            <w:r>
              <w:rPr>
                <w:rFonts w:hint="eastAsia" w:ascii="仿宋_GB2312" w:hAnsi="Calibri" w:eastAsia="仿宋_GB2312" w:cs="仿宋_GB2312"/>
                <w:bCs/>
                <w:color w:val="000000"/>
                <w:kern w:val="2"/>
                <w:sz w:val="21"/>
                <w:szCs w:val="21"/>
                <w:bdr w:val="none" w:color="auto" w:sz="0" w:space="0"/>
                <w:lang w:val="en-US" w:eastAsia="zh-CN" w:bidi="ar"/>
              </w:rPr>
              <w:t>年以来（以合同</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验收签订时间为准）承接过同类项目的业绩情况进行评议，每提供一份业绩得</w:t>
            </w:r>
            <w:r>
              <w:rPr>
                <w:rFonts w:hint="default" w:ascii="Calibri" w:hAnsi="Calibri" w:eastAsia="仿宋_GB2312" w:cs="Calibri"/>
                <w:bCs/>
                <w:color w:val="000000"/>
                <w:kern w:val="2"/>
                <w:sz w:val="21"/>
                <w:szCs w:val="21"/>
                <w:bdr w:val="none" w:color="auto" w:sz="0" w:space="0"/>
                <w:lang w:val="en-US" w:eastAsia="zh-CN" w:bidi="ar"/>
              </w:rPr>
              <w:t>1</w:t>
            </w:r>
            <w:r>
              <w:rPr>
                <w:rFonts w:hint="eastAsia" w:ascii="仿宋_GB2312" w:hAnsi="Calibri" w:eastAsia="仿宋_GB2312" w:cs="仿宋_GB2312"/>
                <w:bCs/>
                <w:color w:val="000000"/>
                <w:kern w:val="2"/>
                <w:sz w:val="21"/>
                <w:szCs w:val="21"/>
                <w:bdr w:val="none" w:color="auto" w:sz="0" w:space="0"/>
                <w:lang w:val="en-US" w:eastAsia="zh-CN" w:bidi="ar"/>
              </w:rPr>
              <w:t>分，满分</w:t>
            </w:r>
            <w:r>
              <w:rPr>
                <w:rFonts w:hint="default" w:ascii="Calibri" w:hAnsi="Calibri" w:eastAsia="仿宋_GB2312" w:cs="Calibri"/>
                <w:bCs/>
                <w:color w:val="000000"/>
                <w:kern w:val="2"/>
                <w:sz w:val="21"/>
                <w:szCs w:val="21"/>
                <w:bdr w:val="none" w:color="auto" w:sz="0" w:space="0"/>
                <w:lang w:val="en-US" w:eastAsia="zh-CN" w:bidi="ar"/>
              </w:rPr>
              <w:t>3</w:t>
            </w:r>
            <w:r>
              <w:rPr>
                <w:rFonts w:hint="eastAsia" w:ascii="仿宋_GB2312" w:hAnsi="Calibri" w:eastAsia="仿宋_GB2312" w:cs="仿宋_GB2312"/>
                <w:bCs/>
                <w:color w:val="000000"/>
                <w:kern w:val="2"/>
                <w:sz w:val="21"/>
                <w:szCs w:val="21"/>
                <w:bdr w:val="none" w:color="auto" w:sz="0" w:space="0"/>
                <w:lang w:val="en-US" w:eastAsia="zh-CN" w:bidi="ar"/>
              </w:rPr>
              <w:t xml:space="preserve">分。投标人须提供该业绩项目以下资料复印件，并加盖投标人公章：①中标（成交）公告（提供相关网站中标或成交公告的下载网页及其网址）；②中标（成交）通知书；③采购合同文本；④能够证明该业绩项目已经采购人验收合格的相关证明文件。所有材料缺一不可，否则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rPr>
          <w:jc w:val="center"/>
        </w:trPr>
        <w:tc>
          <w:tcPr>
            <w:tcW w:w="764"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项目团队投入情况</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p>
        </w:tc>
        <w:tc>
          <w:tcPr>
            <w:tcW w:w="360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供应商拟派出的项目团队人员（供应商应列明团队人员名单，包括不限于姓名、联系电话、岗位分工等内容，提供其为人员缴纳近</w:t>
            </w:r>
            <w:r>
              <w:rPr>
                <w:rFonts w:hint="default" w:ascii="Calibri" w:hAnsi="Calibri" w:eastAsia="仿宋_GB2312" w:cs="Calibri"/>
                <w:bCs/>
                <w:color w:val="000000"/>
                <w:kern w:val="2"/>
                <w:sz w:val="21"/>
                <w:szCs w:val="21"/>
                <w:bdr w:val="none" w:color="auto" w:sz="0" w:space="0"/>
                <w:lang w:val="en-US" w:eastAsia="zh-CN" w:bidi="ar"/>
              </w:rPr>
              <w:t>3</w:t>
            </w:r>
            <w:r>
              <w:rPr>
                <w:rFonts w:hint="eastAsia" w:ascii="仿宋_GB2312" w:hAnsi="Calibri" w:eastAsia="仿宋_GB2312" w:cs="仿宋_GB2312"/>
                <w:bCs/>
                <w:color w:val="000000"/>
                <w:kern w:val="2"/>
                <w:sz w:val="21"/>
                <w:szCs w:val="21"/>
                <w:bdr w:val="none" w:color="auto" w:sz="0" w:space="0"/>
                <w:lang w:val="en-US" w:eastAsia="zh-CN" w:bidi="ar"/>
              </w:rPr>
              <w:t>个月社保证明材料）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764"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培训方案</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bCs/>
                <w:color w:val="000000"/>
                <w:kern w:val="2"/>
                <w:sz w:val="21"/>
                <w:szCs w:val="21"/>
                <w:bdr w:val="none" w:color="auto" w:sz="0" w:space="0"/>
              </w:rPr>
            </w:pPr>
            <w:r>
              <w:rPr>
                <w:rFonts w:hint="default" w:ascii="Calibri" w:hAnsi="Calibri" w:eastAsia="仿宋_GB2312" w:cs="Calibri"/>
                <w:bCs/>
                <w:color w:val="000000"/>
                <w:kern w:val="2"/>
                <w:sz w:val="21"/>
                <w:szCs w:val="21"/>
                <w:bdr w:val="none" w:color="auto" w:sz="0" w:space="0"/>
                <w:lang w:val="en-US" w:eastAsia="zh-CN" w:bidi="ar"/>
              </w:rPr>
              <w:t>3</w:t>
            </w:r>
          </w:p>
        </w:tc>
        <w:tc>
          <w:tcPr>
            <w:tcW w:w="360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left"/>
              <w:rPr>
                <w:rFonts w:hint="default" w:ascii="Calibri" w:hAnsi="Calibri" w:eastAsia="仿宋_GB2312" w:cs="Times New Roman"/>
                <w:bCs/>
                <w:color w:val="000000"/>
                <w:kern w:val="2"/>
                <w:sz w:val="21"/>
                <w:szCs w:val="21"/>
                <w:bdr w:val="none" w:color="auto" w:sz="0" w:space="0"/>
              </w:rPr>
            </w:pPr>
            <w:r>
              <w:rPr>
                <w:rFonts w:hint="eastAsia" w:ascii="仿宋_GB2312" w:hAnsi="Calibri" w:eastAsia="仿宋_GB2312" w:cs="仿宋_GB2312"/>
                <w:bCs/>
                <w:color w:val="000000"/>
                <w:kern w:val="2"/>
                <w:sz w:val="21"/>
                <w:szCs w:val="21"/>
                <w:bdr w:val="none" w:color="auto" w:sz="0" w:space="0"/>
                <w:lang w:val="en-US" w:eastAsia="zh-CN" w:bidi="ar"/>
              </w:rPr>
              <w:t>根据各投标人所提供的技术培训方案进行评分，包括技术培训内容、培训计划、培训时间等。由评标委员会进行评议</w:t>
            </w:r>
            <w:r>
              <w:rPr>
                <w:rFonts w:hint="default" w:ascii="Calibri" w:hAnsi="Calibri" w:eastAsia="仿宋_GB2312" w:cs="Calibri"/>
                <w:bCs/>
                <w:color w:val="000000"/>
                <w:kern w:val="2"/>
                <w:sz w:val="21"/>
                <w:szCs w:val="21"/>
                <w:bdr w:val="none" w:color="auto" w:sz="0" w:space="0"/>
                <w:lang w:val="en-US" w:eastAsia="zh-CN" w:bidi="ar"/>
              </w:rPr>
              <w:t>,</w:t>
            </w:r>
            <w:r>
              <w:rPr>
                <w:rFonts w:hint="eastAsia" w:ascii="仿宋_GB2312" w:hAnsi="Calibri" w:eastAsia="仿宋_GB2312" w:cs="仿宋_GB2312"/>
                <w:bCs/>
                <w:color w:val="000000"/>
                <w:kern w:val="2"/>
                <w:sz w:val="21"/>
                <w:szCs w:val="21"/>
                <w:bdr w:val="none" w:color="auto" w:sz="0" w:space="0"/>
                <w:lang w:val="en-US" w:eastAsia="zh-CN" w:bidi="ar"/>
              </w:rPr>
              <w:t>方案完整、可行、合理的得</w:t>
            </w:r>
            <w:r>
              <w:rPr>
                <w:rFonts w:hint="default" w:ascii="Calibri" w:hAnsi="Calibri" w:eastAsia="仿宋_GB2312" w:cs="Calibri"/>
                <w:bCs/>
                <w:color w:val="000000"/>
                <w:kern w:val="2"/>
                <w:sz w:val="21"/>
                <w:szCs w:val="21"/>
                <w:bdr w:val="none" w:color="auto" w:sz="0" w:space="0"/>
                <w:lang w:val="en-US" w:eastAsia="zh-CN" w:bidi="ar"/>
              </w:rPr>
              <w:t>3</w:t>
            </w:r>
            <w:r>
              <w:rPr>
                <w:rFonts w:hint="eastAsia" w:ascii="仿宋_GB2312" w:hAnsi="Calibri" w:eastAsia="仿宋_GB2312" w:cs="仿宋_GB2312"/>
                <w:bCs/>
                <w:color w:val="000000"/>
                <w:kern w:val="2"/>
                <w:sz w:val="21"/>
                <w:szCs w:val="21"/>
                <w:bdr w:val="none" w:color="auto" w:sz="0" w:space="0"/>
                <w:lang w:val="en-US" w:eastAsia="zh-CN" w:bidi="ar"/>
              </w:rPr>
              <w:t>分，方案基本完整、可行、合理的得</w:t>
            </w:r>
            <w:r>
              <w:rPr>
                <w:rFonts w:hint="default" w:ascii="Calibri" w:hAnsi="Calibri" w:eastAsia="仿宋_GB2312" w:cs="Calibri"/>
                <w:bCs/>
                <w:color w:val="000000"/>
                <w:kern w:val="2"/>
                <w:sz w:val="21"/>
                <w:szCs w:val="21"/>
                <w:bdr w:val="none" w:color="auto" w:sz="0" w:space="0"/>
                <w:lang w:val="en-US" w:eastAsia="zh-CN" w:bidi="ar"/>
              </w:rPr>
              <w:t>2</w:t>
            </w:r>
            <w:r>
              <w:rPr>
                <w:rFonts w:hint="eastAsia" w:ascii="仿宋_GB2312" w:hAnsi="Calibri" w:eastAsia="仿宋_GB2312" w:cs="仿宋_GB2312"/>
                <w:bCs/>
                <w:color w:val="000000"/>
                <w:kern w:val="2"/>
                <w:sz w:val="21"/>
                <w:szCs w:val="21"/>
                <w:bdr w:val="none" w:color="auto" w:sz="0" w:space="0"/>
                <w:lang w:val="en-US" w:eastAsia="zh-CN" w:bidi="ar"/>
              </w:rPr>
              <w:t>分，方案基本合理、可行但不完整的得</w:t>
            </w:r>
            <w:r>
              <w:rPr>
                <w:rFonts w:hint="default" w:ascii="Calibri" w:hAnsi="Calibri" w:eastAsia="仿宋_GB2312" w:cs="Calibri"/>
                <w:bCs/>
                <w:color w:val="000000"/>
                <w:kern w:val="2"/>
                <w:sz w:val="21"/>
                <w:szCs w:val="21"/>
                <w:bdr w:val="none" w:color="auto" w:sz="0" w:space="0"/>
                <w:lang w:val="en-US" w:eastAsia="zh-CN" w:bidi="ar"/>
              </w:rPr>
              <w:t>1</w:t>
            </w:r>
            <w:r>
              <w:rPr>
                <w:rFonts w:hint="eastAsia" w:ascii="仿宋_GB2312" w:hAnsi="Calibri" w:eastAsia="仿宋_GB2312" w:cs="仿宋_GB2312"/>
                <w:bCs/>
                <w:color w:val="000000"/>
                <w:kern w:val="2"/>
                <w:sz w:val="21"/>
                <w:szCs w:val="21"/>
                <w:bdr w:val="none" w:color="auto" w:sz="0" w:space="0"/>
                <w:lang w:val="en-US" w:eastAsia="zh-CN" w:bidi="ar"/>
              </w:rPr>
              <w:t>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764"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c>
          <w:tcPr>
            <w:tcW w:w="360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r>
    </w:tbl>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价格部分（</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val="0"/>
        <w:adjustRightInd w:val="0"/>
        <w:spacing w:before="0" w:beforeAutospacing="0" w:after="0" w:afterAutospacing="0" w:line="540" w:lineRule="exact"/>
        <w:ind w:left="0" w:right="0" w:firstLine="4000" w:firstLineChars="1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40" w:lineRule="exact"/>
        <w:ind w:left="0" w:right="0" w:firstLine="4000" w:firstLineChars="125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申购部门（盖章）：</w:t>
      </w:r>
    </w:p>
    <w:p>
      <w:pPr>
        <w:keepNext w:val="0"/>
        <w:keepLines w:val="0"/>
        <w:widowControl w:val="0"/>
        <w:suppressLineNumbers w:val="0"/>
        <w:autoSpaceDE w:val="0"/>
        <w:autoSpaceDN w:val="0"/>
        <w:adjustRightInd w:val="0"/>
        <w:spacing w:before="0" w:beforeAutospacing="0" w:after="0" w:afterAutospacing="0" w:line="540" w:lineRule="exact"/>
        <w:ind w:left="0" w:right="0" w:firstLine="4960" w:firstLineChars="155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年</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月</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日</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000000"/>
          <w:kern w:val="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Symbol">
    <w:panose1 w:val="020B0502040204020203"/>
    <w:charset w:val="00"/>
    <w:family w:val="auto"/>
    <w:pitch w:val="default"/>
    <w:sig w:usb0="800001E3" w:usb1="1200FFEF" w:usb2="00040000" w:usb3="04000000" w:csb0="00000001" w:csb1="4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MzU1MDVkZmNiYmQ1NTFlZjJhZDQ5ZDY3ODIxMmMifQ=="/>
  </w:docVars>
  <w:rsids>
    <w:rsidRoot w:val="1F37796B"/>
    <w:rsid w:val="1F377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character" w:customStyle="1" w:styleId="4">
    <w:name w:val="15"/>
    <w:basedOn w:val="3"/>
    <w:uiPriority w:val="0"/>
    <w:rPr>
      <w:rFonts w:hint="default" w:ascii="Calibri" w:hAnsi="Calibri" w:cs="Calibri"/>
    </w:rPr>
  </w:style>
  <w:style w:type="character" w:customStyle="1" w:styleId="5">
    <w:name w:val="10"/>
    <w:basedOn w:val="3"/>
    <w:uiPriority w:val="0"/>
    <w:rPr>
      <w:rFonts w:hint="default" w:ascii="Calibri" w:hAnsi="Calibri" w:cs="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2022-11-03T03:33:00Z</dcterms:created>
  <dc:creator>燕子</dc:creator>
  <cp:lastModifiedBy>燕子</cp:lastModifiedBy>
  <dcterms:modified xsi:type="dcterms:W3CDTF">2022-11-03T03:34:12Z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AA2672ADE64343299E18533372121477</vt:lpwstr>
  </property>
</Properties>
</file>